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right" w:pos="9630"/>
          <w:tab w:val="right" w:pos="13323"/>
        </w:tabs>
        <w:spacing w:after="0"/>
        <w:jc w:val="left"/>
        <w:textAlignment w:val="auto"/>
        <w:rPr>
          <w:rFonts w:hint="default" w:ascii="Arial" w:hAnsi="Arial" w:eastAsia="宋体" w:cs="Arial"/>
          <w:b/>
          <w:sz w:val="24"/>
          <w:szCs w:val="24"/>
          <w:lang w:val="en-US" w:eastAsia="zh-CN"/>
        </w:rPr>
      </w:pPr>
      <w:bookmarkStart w:id="0" w:name="_Hlt450051172"/>
      <w:bookmarkEnd w:id="0"/>
      <w:bookmarkStart w:id="1" w:name="_Hlt450039480"/>
      <w:bookmarkEnd w:id="1"/>
      <w:bookmarkStart w:id="2" w:name="_Hlt449016246"/>
      <w:bookmarkEnd w:id="2"/>
      <w:bookmarkStart w:id="3" w:name="_Hlt450066085"/>
      <w:bookmarkEnd w:id="3"/>
      <w:bookmarkStart w:id="4" w:name="_Hlt448930105"/>
      <w:bookmarkEnd w:id="4"/>
      <w:bookmarkStart w:id="5" w:name="_Hlt450066087"/>
      <w:bookmarkEnd w:id="5"/>
      <w:r>
        <w:rPr>
          <w:rFonts w:ascii="Arial" w:hAnsi="Arial" w:cs="Arial"/>
          <w:b/>
          <w:sz w:val="24"/>
          <w:szCs w:val="24"/>
        </w:rPr>
        <w:t>3GPP TSG-RAN WG4 Meeting #115</w:t>
      </w:r>
      <w:r>
        <w:rPr>
          <w:rFonts w:ascii="Arial" w:hAnsi="Arial" w:cs="Arial"/>
          <w:b/>
          <w:sz w:val="24"/>
          <w:szCs w:val="24"/>
        </w:rPr>
        <w:tab/>
      </w:r>
      <w:r>
        <w:rPr>
          <w:rFonts w:ascii="Arial" w:hAnsi="Arial" w:cs="Arial"/>
          <w:b/>
          <w:color w:val="000000"/>
          <w:sz w:val="24"/>
          <w:szCs w:val="24"/>
        </w:rPr>
        <w:t>R4-25</w:t>
      </w:r>
      <w:r>
        <w:rPr>
          <w:rFonts w:hint="eastAsia" w:ascii="Arial" w:hAnsi="Arial" w:cs="Arial"/>
          <w:b/>
          <w:color w:val="000000"/>
          <w:sz w:val="24"/>
          <w:szCs w:val="24"/>
          <w:lang w:val="en-US" w:eastAsia="zh-CN"/>
        </w:rPr>
        <w:t>06263</w:t>
      </w:r>
    </w:p>
    <w:p>
      <w:pPr>
        <w:jc w:val="left"/>
        <w:rPr>
          <w:rFonts w:ascii="Arial" w:hAnsi="Arial" w:eastAsia="宋体" w:cs="Arial"/>
          <w:b/>
          <w:sz w:val="24"/>
          <w:szCs w:val="24"/>
          <w:lang w:eastAsia="zh-CN"/>
        </w:rPr>
      </w:pPr>
      <w:r>
        <w:rPr>
          <w:rFonts w:ascii="Arial" w:hAnsi="Arial" w:eastAsia="宋体" w:cs="Arial"/>
          <w:b/>
          <w:sz w:val="24"/>
          <w:szCs w:val="24"/>
          <w:lang w:eastAsia="zh-CN"/>
        </w:rPr>
        <w:t>St Julian’s, Malta, 19th – 2</w:t>
      </w:r>
      <w:r>
        <w:rPr>
          <w:rFonts w:hint="eastAsia" w:ascii="Arial" w:hAnsi="Arial" w:eastAsia="宋体" w:cs="Arial"/>
          <w:b/>
          <w:sz w:val="24"/>
          <w:szCs w:val="24"/>
          <w:lang w:val="en-US" w:eastAsia="zh-CN"/>
        </w:rPr>
        <w:t>3rd</w:t>
      </w:r>
      <w:r>
        <w:rPr>
          <w:rFonts w:ascii="Arial" w:hAnsi="Arial" w:eastAsia="宋体" w:cs="Arial"/>
          <w:b/>
          <w:sz w:val="24"/>
          <w:szCs w:val="24"/>
          <w:lang w:eastAsia="zh-CN"/>
        </w:rPr>
        <w:t xml:space="preserve"> May 2025</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6" w:name="OLE_LINK14"/>
      <w:bookmarkStart w:id="7" w:name="OLE_LINK8"/>
      <w:r>
        <w:rPr>
          <w:rFonts w:hint="eastAsia" w:ascii="Arial" w:hAnsi="Arial"/>
          <w:b/>
          <w:sz w:val="24"/>
          <w:highlight w:val="none"/>
          <w:lang w:val="en-US" w:eastAsia="zh-CN"/>
        </w:rPr>
        <w:t>D</w:t>
      </w:r>
      <w:r>
        <w:rPr>
          <w:rStyle w:val="60"/>
          <w:rFonts w:hint="eastAsia"/>
          <w:b/>
          <w:highlight w:val="none"/>
          <w:lang w:val="pt-BR" w:eastAsia="zh-CN"/>
        </w:rPr>
        <w:t>iscussion on</w:t>
      </w:r>
      <w:bookmarkEnd w:id="6"/>
      <w:bookmarkEnd w:id="7"/>
      <w:r>
        <w:rPr>
          <w:rStyle w:val="60"/>
          <w:rFonts w:hint="eastAsia"/>
          <w:b/>
          <w:highlight w:val="none"/>
          <w:lang w:val="en-US" w:eastAsia="zh-CN"/>
        </w:rPr>
        <w:t xml:space="preserve"> SAN RF requirements for NR NTN Ku band</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7.11.6</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107</w:t>
      </w:r>
      <w:r>
        <w:rPr>
          <w:rFonts w:hint="default"/>
          <w:i w:val="0"/>
          <w:iCs w:val="0"/>
          <w:sz w:val="20"/>
          <w:szCs w:val="20"/>
          <w:lang w:val="en-US" w:eastAsia="zh-CN"/>
        </w:rPr>
        <w:t xml:space="preserve"> meeting, a</w:t>
      </w:r>
      <w:r>
        <w:rPr>
          <w:rFonts w:hint="eastAsia"/>
          <w:i w:val="0"/>
          <w:iCs w:val="0"/>
          <w:sz w:val="20"/>
          <w:szCs w:val="20"/>
          <w:lang w:val="en-US" w:eastAsia="zh-CN"/>
        </w:rPr>
        <w:t xml:space="preserve"> revised</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 on </w:t>
      </w:r>
      <w:r>
        <w:rPr>
          <w:rFonts w:hint="eastAsia"/>
          <w:i w:val="0"/>
          <w:iCs w:val="0"/>
          <w:sz w:val="20"/>
          <w:szCs w:val="20"/>
          <w:lang w:val="en-US" w:eastAsia="zh-CN"/>
        </w:rPr>
        <w:t>introduction of Ku Band for NR NTN</w:t>
      </w:r>
      <w:r>
        <w:rPr>
          <w:rFonts w:hint="default"/>
          <w:i w:val="0"/>
          <w:iCs w:val="0"/>
          <w:sz w:val="20"/>
          <w:szCs w:val="20"/>
          <w:lang w:val="en-US" w:eastAsia="zh-CN"/>
        </w:rPr>
        <w:t xml:space="preserve"> for NR NTN</w:t>
      </w:r>
      <w:r>
        <w:rPr>
          <w:rFonts w:hint="eastAsia"/>
          <w:i w:val="0"/>
          <w:iCs w:val="0"/>
          <w:sz w:val="20"/>
          <w:szCs w:val="20"/>
          <w:lang w:val="en-US" w:eastAsia="zh-CN"/>
        </w:rPr>
        <w:t xml:space="preserve"> with the following RAN4 objective</w:t>
      </w:r>
      <w:r>
        <w:rPr>
          <w:rFonts w:hint="default"/>
          <w:i w:val="0"/>
          <w:iCs w:val="0"/>
          <w:sz w:val="20"/>
          <w:szCs w:val="20"/>
          <w:lang w:val="en-US" w:eastAsia="zh-CN"/>
        </w:rPr>
        <w:t>. In this contribution, we want to share some</w:t>
      </w:r>
      <w:r>
        <w:rPr>
          <w:rFonts w:hint="eastAsia"/>
          <w:i w:val="0"/>
          <w:iCs w:val="0"/>
          <w:sz w:val="20"/>
          <w:szCs w:val="20"/>
          <w:lang w:val="en-US" w:eastAsia="zh-CN"/>
        </w:rPr>
        <w:t xml:space="preserve"> further</w:t>
      </w:r>
      <w:r>
        <w:rPr>
          <w:rFonts w:hint="default"/>
          <w:i w:val="0"/>
          <w:iCs w:val="0"/>
          <w:sz w:val="20"/>
          <w:szCs w:val="20"/>
          <w:lang w:val="en-US" w:eastAsia="zh-CN"/>
        </w:rPr>
        <w:t xml:space="preserve"> views </w:t>
      </w:r>
      <w:r>
        <w:rPr>
          <w:rFonts w:hint="eastAsia"/>
          <w:i w:val="0"/>
          <w:iCs w:val="0"/>
          <w:sz w:val="20"/>
          <w:szCs w:val="20"/>
          <w:lang w:val="en-US" w:eastAsia="zh-CN"/>
        </w:rPr>
        <w:t xml:space="preserve">about NR NTN Ku band </w:t>
      </w:r>
      <w:r>
        <w:rPr>
          <w:rFonts w:hint="default"/>
          <w:i w:val="0"/>
          <w:iCs w:val="0"/>
          <w:sz w:val="20"/>
          <w:szCs w:val="20"/>
          <w:lang w:val="en-US" w:eastAsia="zh-CN"/>
        </w:rPr>
        <w:t xml:space="preserve">from </w:t>
      </w:r>
      <w:r>
        <w:rPr>
          <w:rFonts w:hint="eastAsia"/>
          <w:i w:val="0"/>
          <w:iCs w:val="0"/>
          <w:sz w:val="20"/>
          <w:szCs w:val="20"/>
          <w:lang w:val="en-US" w:eastAsia="zh-CN"/>
        </w:rPr>
        <w:t>SAN RF</w:t>
      </w:r>
      <w:r>
        <w:rPr>
          <w:rFonts w:hint="default"/>
          <w:i w:val="0"/>
          <w:iCs w:val="0"/>
          <w:sz w:val="20"/>
          <w:szCs w:val="20"/>
          <w:lang w:val="en-US" w:eastAsia="zh-CN"/>
        </w:rPr>
        <w:t xml:space="preserve"> perspective.</w:t>
      </w:r>
    </w:p>
    <w:tbl>
      <w:tblPr>
        <w:tblStyle w:val="24"/>
        <w:tblW w:w="10160"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0" w:type="dxa"/>
          </w:tcPr>
          <w:p>
            <w:pPr>
              <w:overflowPunct w:val="0"/>
              <w:autoSpaceDE w:val="0"/>
              <w:autoSpaceDN w:val="0"/>
              <w:adjustRightInd w:val="0"/>
              <w:spacing w:after="180"/>
              <w:textAlignment w:val="baseline"/>
              <w:rPr>
                <w:bCs/>
                <w:sz w:val="20"/>
                <w:szCs w:val="20"/>
              </w:rPr>
            </w:pPr>
            <w:r>
              <w:rPr>
                <w:iCs/>
                <w:sz w:val="20"/>
                <w:szCs w:val="20"/>
              </w:rPr>
              <w:t>The objectives are:</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Use the regulation requirements in ITU Regions 1, 2 and 3 to identify relevant adjacent band co-existence scenarios for NTN Ku Band covering the following frequency ranges, considering targeted deployment scenarios:</w:t>
            </w:r>
          </w:p>
          <w:p>
            <w:pPr>
              <w:numPr>
                <w:ilvl w:val="1"/>
                <w:numId w:val="8"/>
              </w:numPr>
              <w:overflowPunct w:val="0"/>
              <w:autoSpaceDE w:val="0"/>
              <w:autoSpaceDN w:val="0"/>
              <w:adjustRightInd w:val="0"/>
              <w:spacing w:after="0"/>
              <w:jc w:val="both"/>
              <w:textAlignment w:val="baseline"/>
              <w:rPr>
                <w:bCs/>
                <w:sz w:val="20"/>
                <w:szCs w:val="20"/>
              </w:rPr>
            </w:pPr>
            <w:r>
              <w:rPr>
                <w:bCs/>
                <w:sz w:val="20"/>
                <w:szCs w:val="20"/>
              </w:rPr>
              <w:t>For ITU regions 1 and 3:</w:t>
            </w:r>
          </w:p>
          <w:p>
            <w:pPr>
              <w:numPr>
                <w:ilvl w:val="2"/>
                <w:numId w:val="8"/>
              </w:numPr>
              <w:overflowPunct w:val="0"/>
              <w:autoSpaceDE w:val="0"/>
              <w:autoSpaceDN w:val="0"/>
              <w:adjustRightInd w:val="0"/>
              <w:spacing w:after="0"/>
              <w:jc w:val="both"/>
              <w:textAlignment w:val="baseline"/>
              <w:rPr>
                <w:bCs/>
                <w:sz w:val="20"/>
                <w:szCs w:val="20"/>
              </w:rPr>
            </w:pPr>
            <w:r>
              <w:rPr>
                <w:bCs/>
                <w:sz w:val="20"/>
                <w:szCs w:val="20"/>
              </w:rPr>
              <w:t>Downlink 10.70 – 12.75 GHz</w:t>
            </w:r>
          </w:p>
          <w:p>
            <w:pPr>
              <w:numPr>
                <w:ilvl w:val="2"/>
                <w:numId w:val="8"/>
              </w:numPr>
              <w:overflowPunct w:val="0"/>
              <w:autoSpaceDE w:val="0"/>
              <w:autoSpaceDN w:val="0"/>
              <w:adjustRightInd w:val="0"/>
              <w:spacing w:after="0"/>
              <w:jc w:val="both"/>
              <w:textAlignment w:val="baseline"/>
              <w:rPr>
                <w:bCs/>
                <w:sz w:val="20"/>
                <w:szCs w:val="20"/>
              </w:rPr>
            </w:pPr>
            <w:r>
              <w:rPr>
                <w:bCs/>
                <w:sz w:val="20"/>
                <w:szCs w:val="20"/>
              </w:rPr>
              <w:t>Uplink 13.75-14.5 GHz</w:t>
            </w:r>
          </w:p>
          <w:p>
            <w:pPr>
              <w:numPr>
                <w:ilvl w:val="1"/>
                <w:numId w:val="8"/>
              </w:numPr>
              <w:overflowPunct w:val="0"/>
              <w:autoSpaceDE w:val="0"/>
              <w:autoSpaceDN w:val="0"/>
              <w:adjustRightInd w:val="0"/>
              <w:spacing w:after="0"/>
              <w:jc w:val="both"/>
              <w:textAlignment w:val="baseline"/>
              <w:rPr>
                <w:bCs/>
                <w:sz w:val="20"/>
                <w:szCs w:val="20"/>
              </w:rPr>
            </w:pPr>
            <w:r>
              <w:rPr>
                <w:bCs/>
                <w:sz w:val="20"/>
                <w:szCs w:val="20"/>
              </w:rPr>
              <w:t>For ITU regions 2</w:t>
            </w:r>
            <w:r>
              <w:rPr>
                <w:sz w:val="20"/>
                <w:szCs w:val="20"/>
              </w:rPr>
              <w:t xml:space="preserve"> (The US is in scope for the WI using the current allocation of the Ku band. The band introduction in specification is pending FCC decision)</w:t>
            </w:r>
            <w:r>
              <w:rPr>
                <w:bCs/>
                <w:sz w:val="20"/>
                <w:szCs w:val="20"/>
              </w:rPr>
              <w:t>:</w:t>
            </w:r>
          </w:p>
          <w:p>
            <w:pPr>
              <w:numPr>
                <w:ilvl w:val="2"/>
                <w:numId w:val="8"/>
              </w:numPr>
              <w:overflowPunct w:val="0"/>
              <w:autoSpaceDE w:val="0"/>
              <w:autoSpaceDN w:val="0"/>
              <w:adjustRightInd w:val="0"/>
              <w:spacing w:after="0"/>
              <w:jc w:val="both"/>
              <w:textAlignment w:val="baseline"/>
              <w:rPr>
                <w:bCs/>
                <w:sz w:val="20"/>
                <w:szCs w:val="20"/>
              </w:rPr>
            </w:pPr>
            <w:r>
              <w:rPr>
                <w:bCs/>
                <w:sz w:val="20"/>
                <w:szCs w:val="20"/>
              </w:rPr>
              <w:t>Downlink 10.70 – 12.70 GHz</w:t>
            </w:r>
          </w:p>
          <w:p>
            <w:pPr>
              <w:numPr>
                <w:ilvl w:val="2"/>
                <w:numId w:val="8"/>
              </w:numPr>
              <w:overflowPunct w:val="0"/>
              <w:autoSpaceDE w:val="0"/>
              <w:autoSpaceDN w:val="0"/>
              <w:adjustRightInd w:val="0"/>
              <w:spacing w:after="0"/>
              <w:jc w:val="both"/>
              <w:textAlignment w:val="baseline"/>
              <w:rPr>
                <w:bCs/>
                <w:sz w:val="20"/>
                <w:szCs w:val="20"/>
              </w:rPr>
            </w:pPr>
            <w:r>
              <w:rPr>
                <w:bCs/>
                <w:sz w:val="20"/>
                <w:szCs w:val="20"/>
              </w:rPr>
              <w:t>Uplink 13.75-14.5 GHz</w:t>
            </w:r>
          </w:p>
          <w:p>
            <w:pPr>
              <w:numPr>
                <w:ilvl w:val="1"/>
                <w:numId w:val="8"/>
              </w:numPr>
              <w:overflowPunct w:val="0"/>
              <w:autoSpaceDE w:val="0"/>
              <w:autoSpaceDN w:val="0"/>
              <w:adjustRightInd w:val="0"/>
              <w:spacing w:after="0"/>
              <w:jc w:val="both"/>
              <w:textAlignment w:val="baseline"/>
              <w:rPr>
                <w:bCs/>
                <w:sz w:val="20"/>
                <w:szCs w:val="20"/>
              </w:rPr>
            </w:pPr>
            <w:r>
              <w:rPr>
                <w:bCs/>
                <w:sz w:val="20"/>
                <w:szCs w:val="20"/>
              </w:rPr>
              <w:t>For ITU regions 1 and 3</w:t>
            </w:r>
          </w:p>
          <w:p>
            <w:pPr>
              <w:numPr>
                <w:ilvl w:val="2"/>
                <w:numId w:val="8"/>
              </w:numPr>
              <w:overflowPunct w:val="0"/>
              <w:autoSpaceDE w:val="0"/>
              <w:autoSpaceDN w:val="0"/>
              <w:adjustRightInd w:val="0"/>
              <w:spacing w:after="0"/>
              <w:jc w:val="both"/>
              <w:textAlignment w:val="baseline"/>
              <w:rPr>
                <w:bCs/>
                <w:sz w:val="20"/>
                <w:szCs w:val="20"/>
              </w:rPr>
            </w:pPr>
            <w:r>
              <w:rPr>
                <w:bCs/>
                <w:sz w:val="20"/>
                <w:szCs w:val="20"/>
              </w:rPr>
              <w:t>Downlink 10.70 – 12.75 GHz</w:t>
            </w:r>
          </w:p>
          <w:p>
            <w:pPr>
              <w:numPr>
                <w:ilvl w:val="2"/>
                <w:numId w:val="8"/>
              </w:numPr>
              <w:overflowPunct w:val="0"/>
              <w:autoSpaceDE w:val="0"/>
              <w:autoSpaceDN w:val="0"/>
              <w:adjustRightInd w:val="0"/>
              <w:spacing w:after="0"/>
              <w:jc w:val="both"/>
              <w:textAlignment w:val="baseline"/>
              <w:rPr>
                <w:bCs/>
                <w:sz w:val="20"/>
                <w:szCs w:val="20"/>
              </w:rPr>
            </w:pPr>
            <w:r>
              <w:rPr>
                <w:bCs/>
                <w:sz w:val="20"/>
                <w:szCs w:val="20"/>
              </w:rPr>
              <w:t>Uplink 12.75 - 13.25 GHz</w:t>
            </w:r>
          </w:p>
          <w:p>
            <w:pPr>
              <w:numPr>
                <w:ilvl w:val="1"/>
                <w:numId w:val="8"/>
              </w:numPr>
              <w:overflowPunct w:val="0"/>
              <w:autoSpaceDE w:val="0"/>
              <w:autoSpaceDN w:val="0"/>
              <w:adjustRightInd w:val="0"/>
              <w:spacing w:after="0"/>
              <w:jc w:val="both"/>
              <w:textAlignment w:val="baseline"/>
              <w:rPr>
                <w:bCs/>
                <w:sz w:val="20"/>
                <w:szCs w:val="20"/>
              </w:rPr>
            </w:pPr>
            <w:r>
              <w:rPr>
                <w:bCs/>
                <w:sz w:val="20"/>
                <w:szCs w:val="20"/>
              </w:rPr>
              <w:t xml:space="preserve">For ITU regions 2 </w:t>
            </w:r>
            <w:r>
              <w:rPr>
                <w:sz w:val="20"/>
                <w:szCs w:val="20"/>
              </w:rPr>
              <w:t>(The US is in scope for the WI using the current allocation of the Ku band. The band introduction in specification is pending FCC decision):</w:t>
            </w:r>
          </w:p>
          <w:p>
            <w:pPr>
              <w:numPr>
                <w:ilvl w:val="2"/>
                <w:numId w:val="8"/>
              </w:numPr>
              <w:overflowPunct w:val="0"/>
              <w:autoSpaceDE w:val="0"/>
              <w:autoSpaceDN w:val="0"/>
              <w:adjustRightInd w:val="0"/>
              <w:spacing w:after="0"/>
              <w:jc w:val="both"/>
              <w:textAlignment w:val="baseline"/>
              <w:rPr>
                <w:bCs/>
                <w:sz w:val="20"/>
                <w:szCs w:val="20"/>
              </w:rPr>
            </w:pPr>
            <w:r>
              <w:rPr>
                <w:bCs/>
                <w:sz w:val="20"/>
                <w:szCs w:val="20"/>
              </w:rPr>
              <w:t>Downlink 10.70 – 12.70 GHz</w:t>
            </w:r>
          </w:p>
          <w:p>
            <w:pPr>
              <w:numPr>
                <w:ilvl w:val="2"/>
                <w:numId w:val="8"/>
              </w:numPr>
              <w:overflowPunct w:val="0"/>
              <w:autoSpaceDE w:val="0"/>
              <w:autoSpaceDN w:val="0"/>
              <w:adjustRightInd w:val="0"/>
              <w:spacing w:after="0"/>
              <w:jc w:val="both"/>
              <w:textAlignment w:val="baseline"/>
              <w:rPr>
                <w:bCs/>
                <w:sz w:val="20"/>
                <w:szCs w:val="20"/>
              </w:rPr>
            </w:pPr>
            <w:r>
              <w:rPr>
                <w:bCs/>
                <w:sz w:val="20"/>
                <w:szCs w:val="20"/>
              </w:rPr>
              <w:t>Uplink 12.70 - 13.25 GHz</w:t>
            </w:r>
          </w:p>
          <w:p>
            <w:pPr>
              <w:numPr>
                <w:ilvl w:val="1"/>
                <w:numId w:val="8"/>
              </w:numPr>
              <w:overflowPunct w:val="0"/>
              <w:autoSpaceDE w:val="0"/>
              <w:autoSpaceDN w:val="0"/>
              <w:adjustRightInd w:val="0"/>
              <w:spacing w:after="0"/>
              <w:jc w:val="both"/>
              <w:textAlignment w:val="baseline"/>
              <w:rPr>
                <w:bCs/>
                <w:sz w:val="20"/>
                <w:szCs w:val="20"/>
              </w:rPr>
            </w:pPr>
            <w:r>
              <w:rPr>
                <w:bCs/>
                <w:sz w:val="20"/>
                <w:szCs w:val="20"/>
              </w:rPr>
              <w:t>Note: Appropriate Tx/Rx separation for uplink downlink pairing will be required.</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Conduct coexistence study. Reuse Ka band coexistence study assumptions as much as possible, with modifications where necessary, e.g. for coexistence scenario, frequency range and subcarrier spacing. Conduct new co-existence studies based on adjacent services.</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Specify RF requirements for mobile VSAT served by NGSO and GSO based on existing mobile VSAT type 5 RF requirements</w:t>
            </w:r>
          </w:p>
          <w:p>
            <w:pPr>
              <w:numPr>
                <w:ilvl w:val="0"/>
                <w:numId w:val="8"/>
              </w:numPr>
              <w:overflowPunct w:val="0"/>
              <w:autoSpaceDE w:val="0"/>
              <w:autoSpaceDN w:val="0"/>
              <w:adjustRightInd w:val="0"/>
              <w:spacing w:after="0"/>
              <w:jc w:val="both"/>
              <w:textAlignment w:val="baseline"/>
              <w:rPr>
                <w:bCs/>
                <w:sz w:val="20"/>
                <w:szCs w:val="20"/>
              </w:rPr>
            </w:pPr>
            <w:r>
              <w:rPr>
                <w:sz w:val="20"/>
                <w:szCs w:val="20"/>
              </w:rPr>
              <w:t>Investigate and if possible specify common FR1 and FR2 radiated RF requirements for Satellite Access Node (SAN) and NTN VSAT types (excluding types 1 to 3) in 38.101-5 also considering existing regulations on antenna sizes for certain parts of the Ku band.</w:t>
            </w:r>
          </w:p>
          <w:p>
            <w:pPr>
              <w:pStyle w:val="34"/>
              <w:numPr>
                <w:ilvl w:val="0"/>
                <w:numId w:val="9"/>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Priority 1: for all ITU regions, define Ku band #1a and #1b for the downlink block and uplink block B. D</w:t>
            </w:r>
            <w:r>
              <w:rPr>
                <w:rFonts w:hint="eastAsia"/>
                <w:sz w:val="20"/>
                <w:szCs w:val="20"/>
                <w:lang w:eastAsia="zh-TW"/>
              </w:rPr>
              <w:t>efine two sets of bands, one for FR1 numerology and the other for FR2 numerology, including the support of the following:</w:t>
            </w:r>
          </w:p>
          <w:p>
            <w:pPr>
              <w:pStyle w:val="34"/>
              <w:numPr>
                <w:ilvl w:val="1"/>
                <w:numId w:val="9"/>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Ku band #1a and #1b as FR1-NTN supporting</w:t>
            </w:r>
            <w:r>
              <w:rPr>
                <w:rFonts w:hint="eastAsia"/>
                <w:sz w:val="20"/>
                <w:szCs w:val="20"/>
                <w:lang w:eastAsia="zh-TW"/>
              </w:rPr>
              <w:t xml:space="preserve"> </w:t>
            </w:r>
            <w:r>
              <w:rPr>
                <w:sz w:val="20"/>
                <w:szCs w:val="20"/>
              </w:rPr>
              <w:t>10 MHz</w:t>
            </w:r>
            <w:r>
              <w:rPr>
                <w:rFonts w:hint="eastAsia"/>
                <w:sz w:val="20"/>
                <w:szCs w:val="20"/>
                <w:lang w:eastAsia="zh-TW"/>
              </w:rPr>
              <w:t>,</w:t>
            </w:r>
            <w:r>
              <w:rPr>
                <w:sz w:val="20"/>
                <w:szCs w:val="20"/>
              </w:rPr>
              <w:t xml:space="preserve"> 20 MHz, 25 MHz, 35 MHz, 50 MHz, 70 MHz and 100 MHz channel bandwidths with 30 kHz subcarrier spacing, and 10MHz, 15MHz, 25MHz, 35MHz and 50MHz channel bandwidths with 15 kHz subcarrier spacing. </w:t>
            </w:r>
          </w:p>
          <w:p>
            <w:pPr>
              <w:pStyle w:val="34"/>
              <w:numPr>
                <w:ilvl w:val="2"/>
                <w:numId w:val="9"/>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Note: Same subcarrier spacing is assumed for SSB and data channels</w:t>
            </w:r>
          </w:p>
          <w:p>
            <w:pPr>
              <w:pStyle w:val="34"/>
              <w:numPr>
                <w:ilvl w:val="1"/>
                <w:numId w:val="9"/>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Ku band #1a and #1b as FR2-NTN supporting 50 MHz, 100 MHz, 200 MHz, 400 MHz (120kHz SCS only) channel bandwidths with 120 kHz subcarrier spacing</w:t>
            </w:r>
            <w:r>
              <w:rPr>
                <w:sz w:val="20"/>
                <w:szCs w:val="20"/>
                <w:lang w:eastAsia="zh-TW"/>
              </w:rPr>
              <w:t>.</w:t>
            </w:r>
          </w:p>
          <w:p>
            <w:pPr>
              <w:pStyle w:val="34"/>
              <w:numPr>
                <w:ilvl w:val="1"/>
                <w:numId w:val="9"/>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lang w:eastAsia="zh-TW"/>
              </w:rPr>
              <w:t>Note: Simultaneous operation of FR1-NTN and FR2-NTN numerology is not supported in the UE</w:t>
            </w:r>
          </w:p>
          <w:p>
            <w:pPr>
              <w:pStyle w:val="34"/>
              <w:numPr>
                <w:ilvl w:val="0"/>
                <w:numId w:val="9"/>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Priority 2: for all ITU regions excluding the US in region 2, using the approach in Priority 1, define Ku band #2a and #2b as appropriate for the downlink block and uplink block A.</w:t>
            </w:r>
          </w:p>
          <w:p>
            <w:pPr>
              <w:pStyle w:val="34"/>
              <w:numPr>
                <w:ilvl w:val="0"/>
                <w:numId w:val="9"/>
              </w:numPr>
              <w:overflowPunct/>
              <w:autoSpaceDE/>
              <w:autoSpaceDN/>
              <w:adjustRightInd/>
              <w:spacing w:before="0" w:beforeAutospacing="0" w:after="0" w:afterAutospacing="0" w:line="259" w:lineRule="auto"/>
              <w:contextualSpacing/>
              <w:jc w:val="both"/>
              <w:textAlignment w:val="auto"/>
              <w:rPr>
                <w:sz w:val="20"/>
                <w:szCs w:val="20"/>
              </w:rPr>
            </w:pPr>
            <w:r>
              <w:rPr>
                <w:sz w:val="20"/>
                <w:szCs w:val="20"/>
              </w:rPr>
              <w:t>Specify RRM requirements including timing requirements for mobile VSAT served by NGSO</w:t>
            </w:r>
          </w:p>
          <w:p>
            <w:pPr>
              <w:pStyle w:val="34"/>
              <w:numPr>
                <w:ilvl w:val="1"/>
                <w:numId w:val="9"/>
              </w:numPr>
              <w:overflowPunct/>
              <w:autoSpaceDE/>
              <w:autoSpaceDN/>
              <w:adjustRightInd/>
              <w:spacing w:before="0" w:beforeAutospacing="0" w:after="0" w:afterAutospacing="0" w:line="259" w:lineRule="auto"/>
              <w:contextualSpacing/>
              <w:jc w:val="both"/>
              <w:textAlignment w:val="auto"/>
              <w:rPr>
                <w:sz w:val="20"/>
                <w:szCs w:val="20"/>
              </w:rPr>
            </w:pPr>
            <w:r>
              <w:rPr>
                <w:sz w:val="20"/>
                <w:szCs w:val="20"/>
              </w:rPr>
              <w:t>NOTE:</w:t>
            </w:r>
            <w:r>
              <w:rPr>
                <w:sz w:val="20"/>
                <w:szCs w:val="20"/>
              </w:rPr>
              <w:tab/>
            </w:r>
            <w:r>
              <w:rPr>
                <w:sz w:val="20"/>
                <w:szCs w:val="20"/>
              </w:rPr>
              <w:t>RRM requirements are defined for VSAT supporting FR1-NTN operation only, or for FR2-NTN operation only.</w:t>
            </w:r>
          </w:p>
          <w:p>
            <w:pPr>
              <w:pStyle w:val="34"/>
              <w:overflowPunct/>
              <w:autoSpaceDE/>
              <w:autoSpaceDN/>
              <w:adjustRightInd/>
              <w:spacing w:before="0" w:beforeAutospacing="0" w:after="160" w:afterAutospacing="0" w:line="259" w:lineRule="auto"/>
              <w:ind w:left="360"/>
              <w:contextualSpacing/>
              <w:jc w:val="both"/>
              <w:textAlignment w:val="auto"/>
              <w:rPr>
                <w:rFonts w:hint="default" w:eastAsia="宋体"/>
                <w:i w:val="0"/>
                <w:iCs w:val="0"/>
                <w:sz w:val="20"/>
                <w:szCs w:val="20"/>
                <w:highlight w:val="none"/>
                <w:vertAlign w:val="baseline"/>
                <w:lang w:val="en-US" w:eastAsia="zh-CN"/>
              </w:rPr>
            </w:pP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rFonts w:hint="default"/>
          <w:lang w:val="en-US" w:eastAsia="zh-CN"/>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p>
      <w:pPr>
        <w:pStyle w:val="3"/>
        <w:keepNext w:val="0"/>
        <w:keepLines w:val="0"/>
        <w:pageBreakBefore w:val="0"/>
        <w:widowControl w:val="0"/>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eastAsia"/>
          <w:lang w:val="en-US" w:eastAsia="zh-CN"/>
        </w:rPr>
      </w:pPr>
      <w:r>
        <w:rPr>
          <w:rFonts w:hint="eastAsia"/>
          <w:lang w:val="en-US" w:eastAsia="zh-CN"/>
        </w:rPr>
        <w:t>2.1 SAN radiated Tx requirements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keepNext w:val="0"/>
              <w:keepLines w:val="0"/>
              <w:pageBreakBefore w:val="0"/>
              <w:widowControl w:val="0"/>
              <w:numPr>
                <w:ilvl w:val="0"/>
                <w:numId w:val="0"/>
              </w:numPr>
              <w:kinsoku/>
              <w:wordWrap/>
              <w:overflowPunct w:val="0"/>
              <w:topLinePunct w:val="0"/>
              <w:autoSpaceDE w:val="0"/>
              <w:autoSpaceDN w:val="0"/>
              <w:bidi w:val="0"/>
              <w:adjustRightInd w:val="0"/>
              <w:snapToGrid/>
              <w:textAlignment w:val="baseline"/>
              <w:rPr>
                <w:rFonts w:eastAsia="PMingLiU"/>
                <w:sz w:val="20"/>
                <w:szCs w:val="20"/>
                <w:highlight w:val="none"/>
                <w:lang w:val="en-US" w:eastAsia="zh-TW"/>
              </w:rPr>
            </w:pPr>
            <w:r>
              <w:rPr>
                <w:sz w:val="20"/>
                <w:szCs w:val="20"/>
                <w:highlight w:val="none"/>
                <w:lang w:val="en-US"/>
              </w:rPr>
              <w:t>Issue 2-</w:t>
            </w:r>
            <w:r>
              <w:rPr>
                <w:rFonts w:hint="eastAsia" w:eastAsia="PMingLiU"/>
                <w:sz w:val="20"/>
                <w:szCs w:val="20"/>
                <w:highlight w:val="none"/>
                <w:lang w:val="en-US" w:eastAsia="zh-TW"/>
              </w:rPr>
              <w:t>2</w:t>
            </w:r>
            <w:r>
              <w:rPr>
                <w:sz w:val="20"/>
                <w:szCs w:val="20"/>
                <w:highlight w:val="none"/>
                <w:lang w:val="en-US"/>
              </w:rPr>
              <w:t>-</w:t>
            </w:r>
            <w:r>
              <w:rPr>
                <w:rFonts w:hint="eastAsia" w:eastAsia="PMingLiU"/>
                <w:sz w:val="20"/>
                <w:szCs w:val="20"/>
                <w:highlight w:val="none"/>
                <w:lang w:val="en-US" w:eastAsia="zh-TW"/>
              </w:rPr>
              <w:t>1</w:t>
            </w:r>
            <w:r>
              <w:rPr>
                <w:sz w:val="20"/>
                <w:szCs w:val="20"/>
                <w:highlight w:val="none"/>
                <w:lang w:val="en-US"/>
              </w:rPr>
              <w:t xml:space="preserve">: </w:t>
            </w:r>
            <w:r>
              <w:rPr>
                <w:rFonts w:hint="eastAsia" w:eastAsia="PMingLiU"/>
                <w:sz w:val="20"/>
                <w:szCs w:val="20"/>
                <w:highlight w:val="none"/>
                <w:lang w:val="en-US" w:eastAsia="zh-TW"/>
              </w:rPr>
              <w:t xml:space="preserve">The </w:t>
            </w:r>
            <w:r>
              <w:rPr>
                <w:sz w:val="20"/>
                <w:szCs w:val="20"/>
                <w:highlight w:val="none"/>
                <w:lang w:val="en-US"/>
              </w:rPr>
              <w:t>tolerance for the radiated transmit power and SAN output power</w:t>
            </w:r>
          </w:p>
          <w:p>
            <w:pPr>
              <w:keepNext w:val="0"/>
              <w:keepLines w:val="0"/>
              <w:pageBreakBefore w:val="0"/>
              <w:widowControl w:val="0"/>
              <w:kinsoku/>
              <w:wordWrap/>
              <w:overflowPunct w:val="0"/>
              <w:topLinePunct w:val="0"/>
              <w:autoSpaceDE w:val="0"/>
              <w:autoSpaceDN w:val="0"/>
              <w:bidi w:val="0"/>
              <w:adjustRightInd w:val="0"/>
              <w:snapToGrid/>
              <w:spacing w:after="180"/>
              <w:textAlignment w:val="baseline"/>
              <w:rPr>
                <w:rFonts w:eastAsia="PMingLiU"/>
                <w:sz w:val="20"/>
                <w:szCs w:val="20"/>
                <w:highlight w:val="none"/>
                <w:lang w:val="en-US" w:eastAsia="zh-TW"/>
              </w:rPr>
            </w:pPr>
            <w:r>
              <w:rPr>
                <w:rFonts w:hint="eastAsia" w:eastAsia="PMingLiU"/>
                <w:sz w:val="20"/>
                <w:szCs w:val="20"/>
                <w:highlight w:val="none"/>
                <w:lang w:val="en-US" w:eastAsia="zh-TW"/>
              </w:rPr>
              <w:t>Agreement:</w:t>
            </w:r>
          </w:p>
          <w:p>
            <w:pPr>
              <w:pStyle w:val="34"/>
              <w:keepNext w:val="0"/>
              <w:keepLines w:val="0"/>
              <w:pageBreakBefore w:val="0"/>
              <w:widowControl w:val="0"/>
              <w:numPr>
                <w:ilvl w:val="0"/>
                <w:numId w:val="10"/>
              </w:numPr>
              <w:kinsoku/>
              <w:wordWrap/>
              <w:overflowPunct/>
              <w:topLinePunct w:val="0"/>
              <w:autoSpaceDE/>
              <w:autoSpaceDN/>
              <w:bidi w:val="0"/>
              <w:adjustRightInd/>
              <w:snapToGrid/>
              <w:spacing w:after="120" w:line="259" w:lineRule="auto"/>
              <w:ind w:firstLineChars="0"/>
              <w:textAlignment w:val="auto"/>
              <w:rPr>
                <w:sz w:val="20"/>
                <w:szCs w:val="20"/>
                <w:highlight w:val="none"/>
                <w:lang w:val="en-US"/>
              </w:rPr>
            </w:pPr>
            <w:r>
              <w:rPr>
                <w:rFonts w:hint="eastAsia" w:eastAsia="PMingLiU"/>
                <w:sz w:val="20"/>
                <w:szCs w:val="20"/>
                <w:highlight w:val="none"/>
                <w:lang w:val="en-US" w:eastAsia="zh-TW"/>
              </w:rPr>
              <w:t xml:space="preserve">For the </w:t>
            </w:r>
            <w:r>
              <w:rPr>
                <w:rFonts w:eastAsia="PMingLiU"/>
                <w:sz w:val="20"/>
                <w:szCs w:val="20"/>
                <w:highlight w:val="none"/>
                <w:lang w:val="en-US" w:eastAsia="zh-TW"/>
              </w:rPr>
              <w:t xml:space="preserve">tolerance </w:t>
            </w:r>
            <w:r>
              <w:rPr>
                <w:rFonts w:hint="eastAsia" w:eastAsia="PMingLiU"/>
                <w:sz w:val="20"/>
                <w:szCs w:val="20"/>
                <w:highlight w:val="none"/>
                <w:lang w:val="en-US" w:eastAsia="zh-TW"/>
              </w:rPr>
              <w:t>of</w:t>
            </w:r>
            <w:r>
              <w:rPr>
                <w:rFonts w:eastAsia="PMingLiU"/>
                <w:sz w:val="20"/>
                <w:szCs w:val="20"/>
                <w:highlight w:val="none"/>
                <w:lang w:val="en-US" w:eastAsia="zh-TW"/>
              </w:rPr>
              <w:t xml:space="preserve"> the radiated transmit power and SAN output power</w:t>
            </w:r>
            <w:r>
              <w:rPr>
                <w:rFonts w:hint="eastAsia" w:eastAsia="PMingLiU"/>
                <w:sz w:val="20"/>
                <w:szCs w:val="20"/>
                <w:highlight w:val="none"/>
                <w:lang w:val="en-US" w:eastAsia="zh-TW"/>
              </w:rPr>
              <w:t xml:space="preserve"> for both the FR1-NTN and FR2-NTN Ku bands</w:t>
            </w:r>
          </w:p>
          <w:p>
            <w:pPr>
              <w:pStyle w:val="34"/>
              <w:keepNext w:val="0"/>
              <w:keepLines w:val="0"/>
              <w:pageBreakBefore w:val="0"/>
              <w:widowControl w:val="0"/>
              <w:numPr>
                <w:ilvl w:val="1"/>
                <w:numId w:val="10"/>
              </w:numPr>
              <w:kinsoku/>
              <w:wordWrap/>
              <w:overflowPunct/>
              <w:topLinePunct w:val="0"/>
              <w:autoSpaceDE/>
              <w:autoSpaceDN/>
              <w:bidi w:val="0"/>
              <w:adjustRightInd/>
              <w:snapToGrid/>
              <w:spacing w:after="120" w:line="259" w:lineRule="auto"/>
              <w:ind w:firstLineChars="0"/>
              <w:textAlignment w:val="auto"/>
              <w:rPr>
                <w:sz w:val="20"/>
                <w:szCs w:val="20"/>
                <w:highlight w:val="none"/>
                <w:lang w:val="en-US"/>
              </w:rPr>
            </w:pPr>
            <w:r>
              <w:rPr>
                <w:rFonts w:hint="eastAsia" w:eastAsia="PMingLiU"/>
                <w:sz w:val="20"/>
                <w:szCs w:val="20"/>
                <w:highlight w:val="none"/>
                <w:lang w:val="en-US" w:eastAsia="zh-TW"/>
              </w:rPr>
              <w:t xml:space="preserve">[+-3.4] </w:t>
            </w:r>
            <w:r>
              <w:rPr>
                <w:rFonts w:eastAsia="PMingLiU"/>
                <w:sz w:val="20"/>
                <w:szCs w:val="20"/>
                <w:highlight w:val="none"/>
                <w:lang w:val="en-US" w:eastAsia="zh-TW"/>
              </w:rPr>
              <w:t>dB EIRP accuracy</w:t>
            </w:r>
            <w:r>
              <w:rPr>
                <w:rFonts w:hint="eastAsia" w:eastAsia="PMingLiU"/>
                <w:sz w:val="20"/>
                <w:szCs w:val="20"/>
                <w:highlight w:val="none"/>
                <w:lang w:val="en-US" w:eastAsia="zh-TW"/>
              </w:rPr>
              <w:t xml:space="preserve">, </w:t>
            </w:r>
            <w:r>
              <w:rPr>
                <w:rFonts w:eastAsia="PMingLiU"/>
                <w:sz w:val="20"/>
                <w:szCs w:val="20"/>
                <w:highlight w:val="none"/>
                <w:lang w:val="en-US" w:eastAsia="zh-TW"/>
              </w:rPr>
              <w:t xml:space="preserve"> [</w:t>
            </w:r>
            <w:r>
              <w:rPr>
                <w:rFonts w:hint="eastAsia" w:eastAsia="PMingLiU"/>
                <w:sz w:val="20"/>
                <w:szCs w:val="20"/>
                <w:highlight w:val="none"/>
                <w:lang w:val="en-US" w:eastAsia="zh-TW"/>
              </w:rPr>
              <w:t>+-3</w:t>
            </w:r>
            <w:r>
              <w:rPr>
                <w:rFonts w:eastAsia="PMingLiU"/>
                <w:sz w:val="20"/>
                <w:szCs w:val="20"/>
                <w:highlight w:val="none"/>
                <w:lang w:val="en-US" w:eastAsia="zh-TW"/>
              </w:rPr>
              <w:t>]</w:t>
            </w:r>
            <w:r>
              <w:rPr>
                <w:rFonts w:hint="eastAsia" w:eastAsia="PMingLiU"/>
                <w:sz w:val="20"/>
                <w:szCs w:val="20"/>
                <w:highlight w:val="none"/>
                <w:lang w:val="en-US" w:eastAsia="zh-TW"/>
              </w:rPr>
              <w:t xml:space="preserve"> </w:t>
            </w:r>
            <w:r>
              <w:rPr>
                <w:rFonts w:eastAsia="PMingLiU"/>
                <w:sz w:val="20"/>
                <w:szCs w:val="20"/>
                <w:highlight w:val="none"/>
                <w:lang w:val="en-US" w:eastAsia="zh-TW"/>
              </w:rPr>
              <w:t>dB TRP accuracy</w:t>
            </w:r>
            <w:r>
              <w:rPr>
                <w:rFonts w:hint="eastAsia" w:eastAsia="PMingLiU"/>
                <w:sz w:val="20"/>
                <w:szCs w:val="20"/>
                <w:highlight w:val="none"/>
                <w:lang w:val="en-US" w:eastAsia="zh-TW"/>
              </w:rPr>
              <w:t xml:space="preserve"> (re-using FR2-NTN) as baseline</w:t>
            </w:r>
          </w:p>
          <w:p>
            <w:pPr>
              <w:pStyle w:val="34"/>
              <w:keepNext w:val="0"/>
              <w:keepLines w:val="0"/>
              <w:pageBreakBefore w:val="0"/>
              <w:widowControl w:val="0"/>
              <w:numPr>
                <w:ilvl w:val="1"/>
                <w:numId w:val="10"/>
              </w:numPr>
              <w:kinsoku/>
              <w:wordWrap/>
              <w:overflowPunct/>
              <w:topLinePunct w:val="0"/>
              <w:autoSpaceDE/>
              <w:autoSpaceDN/>
              <w:bidi w:val="0"/>
              <w:adjustRightInd/>
              <w:snapToGrid/>
              <w:spacing w:after="120" w:line="259" w:lineRule="auto"/>
              <w:ind w:firstLineChars="0"/>
              <w:textAlignment w:val="auto"/>
              <w:rPr>
                <w:sz w:val="20"/>
                <w:szCs w:val="20"/>
                <w:highlight w:val="none"/>
                <w:lang w:val="en-US"/>
              </w:rPr>
            </w:pPr>
            <w:r>
              <w:rPr>
                <w:rFonts w:eastAsia="PMingLiU"/>
                <w:sz w:val="20"/>
                <w:szCs w:val="20"/>
                <w:highlight w:val="none"/>
                <w:lang w:val="en-US" w:eastAsia="zh-TW"/>
              </w:rPr>
              <w:t>O</w:t>
            </w:r>
            <w:r>
              <w:rPr>
                <w:rFonts w:hint="eastAsia" w:eastAsia="PMingLiU"/>
                <w:sz w:val="20"/>
                <w:szCs w:val="20"/>
                <w:highlight w:val="none"/>
                <w:lang w:val="en-US" w:eastAsia="zh-TW"/>
              </w:rPr>
              <w:t>ther options are not precluded</w:t>
            </w:r>
          </w:p>
          <w:p>
            <w:pPr>
              <w:pStyle w:val="34"/>
              <w:keepNext w:val="0"/>
              <w:keepLines w:val="0"/>
              <w:pageBreakBefore w:val="0"/>
              <w:widowControl w:val="0"/>
              <w:numPr>
                <w:ilvl w:val="1"/>
                <w:numId w:val="10"/>
              </w:numPr>
              <w:kinsoku/>
              <w:wordWrap/>
              <w:overflowPunct/>
              <w:topLinePunct w:val="0"/>
              <w:autoSpaceDE/>
              <w:autoSpaceDN/>
              <w:bidi w:val="0"/>
              <w:adjustRightInd/>
              <w:snapToGrid/>
              <w:spacing w:after="120" w:line="259" w:lineRule="auto"/>
              <w:ind w:firstLineChars="0"/>
              <w:textAlignment w:val="auto"/>
              <w:rPr>
                <w:sz w:val="20"/>
                <w:szCs w:val="20"/>
                <w:highlight w:val="none"/>
                <w:lang w:val="en-US"/>
              </w:rPr>
            </w:pPr>
            <w:r>
              <w:rPr>
                <w:rFonts w:hint="eastAsia" w:eastAsia="PMingLiU"/>
                <w:sz w:val="20"/>
                <w:szCs w:val="20"/>
                <w:highlight w:val="none"/>
                <w:lang w:val="en-US" w:eastAsia="zh-TW"/>
              </w:rPr>
              <w:t>Other NTN bands will not be impacted</w:t>
            </w:r>
          </w:p>
          <w:p>
            <w:pPr>
              <w:keepNext w:val="0"/>
              <w:keepLines w:val="0"/>
              <w:pageBreakBefore w:val="0"/>
              <w:widowControl w:val="0"/>
              <w:kinsoku/>
              <w:wordWrap/>
              <w:overflowPunct w:val="0"/>
              <w:topLinePunct w:val="0"/>
              <w:autoSpaceDE w:val="0"/>
              <w:autoSpaceDN w:val="0"/>
              <w:bidi w:val="0"/>
              <w:adjustRightInd w:val="0"/>
              <w:snapToGrid/>
              <w:spacing w:after="180"/>
              <w:textAlignment w:val="baseline"/>
              <w:rPr>
                <w:rFonts w:eastAsia="PMingLiU"/>
                <w:sz w:val="20"/>
                <w:szCs w:val="20"/>
                <w:highlight w:val="none"/>
                <w:lang w:val="en-US" w:eastAsia="zh-TW"/>
              </w:rPr>
            </w:pPr>
          </w:p>
          <w:p>
            <w:pPr>
              <w:pStyle w:val="5"/>
              <w:keepNext w:val="0"/>
              <w:keepLines w:val="0"/>
              <w:pageBreakBefore w:val="0"/>
              <w:widowControl w:val="0"/>
              <w:numPr>
                <w:ilvl w:val="0"/>
                <w:numId w:val="0"/>
              </w:numPr>
              <w:kinsoku/>
              <w:wordWrap/>
              <w:overflowPunct w:val="0"/>
              <w:topLinePunct w:val="0"/>
              <w:autoSpaceDE w:val="0"/>
              <w:autoSpaceDN w:val="0"/>
              <w:bidi w:val="0"/>
              <w:adjustRightInd w:val="0"/>
              <w:snapToGrid/>
              <w:textAlignment w:val="baseline"/>
              <w:rPr>
                <w:rFonts w:eastAsia="PMingLiU"/>
                <w:sz w:val="20"/>
                <w:szCs w:val="20"/>
                <w:highlight w:val="none"/>
                <w:lang w:val="en-US" w:eastAsia="zh-TW"/>
              </w:rPr>
            </w:pPr>
            <w:r>
              <w:rPr>
                <w:sz w:val="20"/>
                <w:szCs w:val="20"/>
                <w:highlight w:val="none"/>
                <w:lang w:val="en-US"/>
              </w:rPr>
              <w:t>Issue 2-</w:t>
            </w:r>
            <w:r>
              <w:rPr>
                <w:rFonts w:hint="eastAsia" w:eastAsia="PMingLiU"/>
                <w:sz w:val="20"/>
                <w:szCs w:val="20"/>
                <w:highlight w:val="none"/>
                <w:lang w:val="en-US" w:eastAsia="zh-TW"/>
              </w:rPr>
              <w:t>2</w:t>
            </w:r>
            <w:r>
              <w:rPr>
                <w:sz w:val="20"/>
                <w:szCs w:val="20"/>
                <w:highlight w:val="none"/>
                <w:lang w:val="en-US"/>
              </w:rPr>
              <w:t>-</w:t>
            </w:r>
            <w:r>
              <w:rPr>
                <w:rFonts w:hint="eastAsia" w:eastAsia="PMingLiU"/>
                <w:sz w:val="20"/>
                <w:szCs w:val="20"/>
                <w:highlight w:val="none"/>
                <w:lang w:val="en-US" w:eastAsia="zh-TW"/>
              </w:rPr>
              <w:t>2</w:t>
            </w:r>
            <w:r>
              <w:rPr>
                <w:sz w:val="20"/>
                <w:szCs w:val="20"/>
                <w:highlight w:val="none"/>
                <w:lang w:val="en-US"/>
              </w:rPr>
              <w:t xml:space="preserve">: </w:t>
            </w:r>
            <w:r>
              <w:rPr>
                <w:rFonts w:eastAsia="PMingLiU"/>
                <w:sz w:val="20"/>
                <w:szCs w:val="20"/>
                <w:highlight w:val="none"/>
                <w:lang w:val="en-US" w:eastAsia="zh-TW"/>
              </w:rPr>
              <w:t>OTA RE power control dynamic range</w:t>
            </w:r>
            <w:r>
              <w:rPr>
                <w:rFonts w:hint="eastAsia" w:eastAsia="PMingLiU"/>
                <w:sz w:val="20"/>
                <w:szCs w:val="20"/>
                <w:highlight w:val="none"/>
                <w:lang w:val="en-US" w:eastAsia="zh-TW"/>
              </w:rPr>
              <w:t xml:space="preserve"> for the Ku band SAN</w:t>
            </w:r>
          </w:p>
          <w:p>
            <w:pPr>
              <w:keepNext w:val="0"/>
              <w:keepLines w:val="0"/>
              <w:pageBreakBefore w:val="0"/>
              <w:widowControl w:val="0"/>
              <w:kinsoku/>
              <w:wordWrap/>
              <w:overflowPunct w:val="0"/>
              <w:topLinePunct w:val="0"/>
              <w:autoSpaceDE w:val="0"/>
              <w:autoSpaceDN w:val="0"/>
              <w:bidi w:val="0"/>
              <w:adjustRightInd w:val="0"/>
              <w:snapToGrid/>
              <w:spacing w:after="120" w:line="259" w:lineRule="auto"/>
              <w:textAlignment w:val="baseline"/>
              <w:rPr>
                <w:rFonts w:eastAsia="PMingLiU"/>
                <w:sz w:val="20"/>
                <w:szCs w:val="20"/>
                <w:highlight w:val="none"/>
                <w:lang w:val="en-US" w:eastAsia="zh-TW"/>
              </w:rPr>
            </w:pPr>
            <w:r>
              <w:rPr>
                <w:rFonts w:hint="eastAsia" w:eastAsia="PMingLiU"/>
                <w:sz w:val="20"/>
                <w:szCs w:val="20"/>
                <w:highlight w:val="none"/>
                <w:lang w:val="en-US" w:eastAsia="zh-TW"/>
              </w:rPr>
              <w:t>Agreement</w:t>
            </w:r>
          </w:p>
          <w:p>
            <w:pPr>
              <w:pStyle w:val="34"/>
              <w:keepNext w:val="0"/>
              <w:keepLines w:val="0"/>
              <w:pageBreakBefore w:val="0"/>
              <w:widowControl w:val="0"/>
              <w:numPr>
                <w:ilvl w:val="0"/>
                <w:numId w:val="10"/>
              </w:numPr>
              <w:kinsoku/>
              <w:wordWrap/>
              <w:overflowPunct/>
              <w:topLinePunct w:val="0"/>
              <w:autoSpaceDE/>
              <w:autoSpaceDN/>
              <w:bidi w:val="0"/>
              <w:adjustRightInd/>
              <w:snapToGrid/>
              <w:spacing w:after="120" w:line="259" w:lineRule="auto"/>
              <w:ind w:firstLineChars="0"/>
              <w:textAlignment w:val="auto"/>
              <w:rPr>
                <w:sz w:val="20"/>
                <w:szCs w:val="20"/>
                <w:highlight w:val="none"/>
                <w:lang w:val="en-US"/>
              </w:rPr>
            </w:pPr>
            <w:r>
              <w:rPr>
                <w:rFonts w:hint="eastAsia" w:eastAsia="PMingLiU"/>
                <w:sz w:val="20"/>
                <w:szCs w:val="20"/>
                <w:highlight w:val="none"/>
                <w:lang w:val="en-US" w:eastAsia="zh-TW"/>
              </w:rPr>
              <w:t xml:space="preserve">The </w:t>
            </w:r>
            <w:r>
              <w:rPr>
                <w:rFonts w:eastAsia="PMingLiU"/>
                <w:sz w:val="20"/>
                <w:szCs w:val="20"/>
                <w:highlight w:val="none"/>
                <w:lang w:val="en-US" w:eastAsia="zh-TW"/>
              </w:rPr>
              <w:t>OTA RE power control dynamic range</w:t>
            </w:r>
            <w:r>
              <w:rPr>
                <w:rFonts w:hint="eastAsia" w:eastAsia="PMingLiU"/>
                <w:sz w:val="20"/>
                <w:szCs w:val="20"/>
                <w:highlight w:val="none"/>
                <w:lang w:val="en-US" w:eastAsia="zh-TW"/>
              </w:rPr>
              <w:t xml:space="preserve"> is not required for FR2-NTN </w:t>
            </w:r>
            <w:r>
              <w:rPr>
                <w:rFonts w:eastAsia="PMingLiU"/>
                <w:sz w:val="20"/>
                <w:szCs w:val="20"/>
                <w:highlight w:val="none"/>
                <w:lang w:val="en-US" w:eastAsia="zh-TW"/>
              </w:rPr>
              <w:t>Ku-band</w:t>
            </w:r>
            <w:r>
              <w:rPr>
                <w:rFonts w:hint="eastAsia" w:eastAsia="PMingLiU"/>
                <w:sz w:val="20"/>
                <w:szCs w:val="20"/>
                <w:highlight w:val="none"/>
                <w:lang w:val="en-US" w:eastAsia="zh-TW"/>
              </w:rPr>
              <w:t xml:space="preserve"> SAN.</w:t>
            </w:r>
          </w:p>
          <w:p>
            <w:pPr>
              <w:pStyle w:val="34"/>
              <w:keepNext w:val="0"/>
              <w:keepLines w:val="0"/>
              <w:pageBreakBefore w:val="0"/>
              <w:widowControl w:val="0"/>
              <w:numPr>
                <w:ilvl w:val="0"/>
                <w:numId w:val="10"/>
              </w:numPr>
              <w:kinsoku/>
              <w:wordWrap/>
              <w:overflowPunct/>
              <w:topLinePunct w:val="0"/>
              <w:autoSpaceDE/>
              <w:autoSpaceDN/>
              <w:bidi w:val="0"/>
              <w:adjustRightInd/>
              <w:snapToGrid/>
              <w:spacing w:after="120" w:line="259" w:lineRule="auto"/>
              <w:ind w:firstLineChars="0"/>
              <w:textAlignment w:val="auto"/>
              <w:rPr>
                <w:sz w:val="20"/>
                <w:szCs w:val="20"/>
                <w:highlight w:val="none"/>
                <w:lang w:val="en-US"/>
              </w:rPr>
            </w:pPr>
            <w:r>
              <w:rPr>
                <w:rFonts w:hint="eastAsia" w:eastAsia="PMingLiU"/>
                <w:sz w:val="20"/>
                <w:szCs w:val="20"/>
                <w:highlight w:val="none"/>
                <w:lang w:val="en-US" w:eastAsia="zh-TW"/>
              </w:rPr>
              <w:t xml:space="preserve">Further discuss whether </w:t>
            </w:r>
            <w:r>
              <w:rPr>
                <w:rFonts w:eastAsia="PMingLiU"/>
                <w:sz w:val="20"/>
                <w:szCs w:val="20"/>
                <w:highlight w:val="none"/>
                <w:lang w:val="en-US" w:eastAsia="zh-TW"/>
              </w:rPr>
              <w:t>OTA RE power control dynamic range</w:t>
            </w:r>
            <w:r>
              <w:rPr>
                <w:rFonts w:hint="eastAsia" w:eastAsia="PMingLiU"/>
                <w:sz w:val="20"/>
                <w:szCs w:val="20"/>
                <w:highlight w:val="none"/>
                <w:lang w:val="en-US" w:eastAsia="zh-TW"/>
              </w:rPr>
              <w:t xml:space="preserve"> (i.e. </w:t>
            </w:r>
            <w:r>
              <w:rPr>
                <w:rFonts w:hint="eastAsia"/>
                <w:sz w:val="20"/>
                <w:szCs w:val="20"/>
                <w:highlight w:val="none"/>
              </w:rPr>
              <w:t>RE power boosting</w:t>
            </w:r>
            <w:r>
              <w:rPr>
                <w:rFonts w:hint="eastAsia" w:eastAsia="PMingLiU"/>
                <w:sz w:val="20"/>
                <w:szCs w:val="20"/>
                <w:highlight w:val="none"/>
                <w:lang w:val="en-US" w:eastAsia="zh-TW"/>
              </w:rPr>
              <w:t xml:space="preserve">) is needed for FR1-NTN </w:t>
            </w:r>
            <w:r>
              <w:rPr>
                <w:rFonts w:eastAsia="PMingLiU"/>
                <w:sz w:val="20"/>
                <w:szCs w:val="20"/>
                <w:highlight w:val="none"/>
                <w:lang w:val="en-US" w:eastAsia="zh-TW"/>
              </w:rPr>
              <w:t>Ku-band</w:t>
            </w:r>
            <w:r>
              <w:rPr>
                <w:rFonts w:hint="eastAsia" w:eastAsia="PMingLiU"/>
                <w:sz w:val="20"/>
                <w:szCs w:val="20"/>
                <w:highlight w:val="none"/>
                <w:lang w:val="en-US" w:eastAsia="zh-TW"/>
              </w:rPr>
              <w:t xml:space="preserve"> SAN for the smaller channel bandwidth.</w:t>
            </w:r>
          </w:p>
          <w:p>
            <w:pPr>
              <w:keepNext w:val="0"/>
              <w:keepLines w:val="0"/>
              <w:pageBreakBefore w:val="0"/>
              <w:widowControl w:val="0"/>
              <w:kinsoku/>
              <w:wordWrap/>
              <w:overflowPunct w:val="0"/>
              <w:topLinePunct w:val="0"/>
              <w:autoSpaceDE w:val="0"/>
              <w:autoSpaceDN w:val="0"/>
              <w:bidi w:val="0"/>
              <w:adjustRightInd w:val="0"/>
              <w:snapToGrid/>
              <w:spacing w:after="120" w:line="259" w:lineRule="auto"/>
              <w:textAlignment w:val="baseline"/>
              <w:rPr>
                <w:rFonts w:eastAsia="PMingLiU"/>
                <w:sz w:val="20"/>
                <w:szCs w:val="20"/>
                <w:highlight w:val="none"/>
                <w:lang w:val="en-US" w:eastAsia="zh-TW"/>
              </w:rPr>
            </w:pPr>
          </w:p>
          <w:p>
            <w:pPr>
              <w:pStyle w:val="5"/>
              <w:keepNext w:val="0"/>
              <w:keepLines w:val="0"/>
              <w:pageBreakBefore w:val="0"/>
              <w:widowControl w:val="0"/>
              <w:numPr>
                <w:ilvl w:val="0"/>
                <w:numId w:val="0"/>
              </w:numPr>
              <w:kinsoku/>
              <w:wordWrap/>
              <w:overflowPunct w:val="0"/>
              <w:topLinePunct w:val="0"/>
              <w:autoSpaceDE w:val="0"/>
              <w:autoSpaceDN w:val="0"/>
              <w:bidi w:val="0"/>
              <w:adjustRightInd w:val="0"/>
              <w:snapToGrid/>
              <w:textAlignment w:val="baseline"/>
              <w:rPr>
                <w:rFonts w:eastAsia="PMingLiU"/>
                <w:sz w:val="20"/>
                <w:szCs w:val="20"/>
                <w:highlight w:val="none"/>
                <w:lang w:val="en-US" w:eastAsia="zh-TW"/>
              </w:rPr>
            </w:pPr>
            <w:r>
              <w:rPr>
                <w:sz w:val="20"/>
                <w:szCs w:val="20"/>
                <w:highlight w:val="none"/>
                <w:lang w:val="en-US"/>
              </w:rPr>
              <w:t>Issue 2-</w:t>
            </w:r>
            <w:r>
              <w:rPr>
                <w:rFonts w:hint="eastAsia" w:eastAsia="PMingLiU"/>
                <w:sz w:val="20"/>
                <w:szCs w:val="20"/>
                <w:highlight w:val="none"/>
                <w:lang w:val="en-US" w:eastAsia="zh-TW"/>
              </w:rPr>
              <w:t>2</w:t>
            </w:r>
            <w:r>
              <w:rPr>
                <w:sz w:val="20"/>
                <w:szCs w:val="20"/>
                <w:highlight w:val="none"/>
                <w:lang w:val="en-US"/>
              </w:rPr>
              <w:t>-</w:t>
            </w:r>
            <w:r>
              <w:rPr>
                <w:rFonts w:hint="eastAsia" w:eastAsia="PMingLiU"/>
                <w:sz w:val="20"/>
                <w:szCs w:val="20"/>
                <w:highlight w:val="none"/>
                <w:lang w:val="en-US" w:eastAsia="zh-TW"/>
              </w:rPr>
              <w:t>3</w:t>
            </w:r>
            <w:r>
              <w:rPr>
                <w:sz w:val="20"/>
                <w:szCs w:val="20"/>
                <w:highlight w:val="none"/>
                <w:lang w:val="en-US"/>
              </w:rPr>
              <w:t xml:space="preserve">: </w:t>
            </w:r>
            <w:r>
              <w:rPr>
                <w:rFonts w:eastAsia="PMingLiU"/>
                <w:sz w:val="20"/>
                <w:szCs w:val="20"/>
                <w:highlight w:val="none"/>
                <w:lang w:val="en-US" w:eastAsia="zh-TW"/>
              </w:rPr>
              <w:t xml:space="preserve"> OTA total power dynamic range</w:t>
            </w:r>
            <w:r>
              <w:rPr>
                <w:rFonts w:hint="eastAsia" w:eastAsia="PMingLiU"/>
                <w:sz w:val="20"/>
                <w:szCs w:val="20"/>
                <w:highlight w:val="none"/>
                <w:lang w:val="en-US" w:eastAsia="zh-TW"/>
              </w:rPr>
              <w:t xml:space="preserve"> for the Ku band SAN</w:t>
            </w:r>
          </w:p>
          <w:p>
            <w:pPr>
              <w:keepNext w:val="0"/>
              <w:keepLines w:val="0"/>
              <w:pageBreakBefore w:val="0"/>
              <w:widowControl w:val="0"/>
              <w:kinsoku/>
              <w:wordWrap/>
              <w:overflowPunct w:val="0"/>
              <w:topLinePunct w:val="0"/>
              <w:autoSpaceDE w:val="0"/>
              <w:autoSpaceDN w:val="0"/>
              <w:bidi w:val="0"/>
              <w:adjustRightInd w:val="0"/>
              <w:snapToGrid/>
              <w:spacing w:after="180"/>
              <w:textAlignment w:val="baseline"/>
              <w:rPr>
                <w:rFonts w:eastAsia="PMingLiU"/>
                <w:sz w:val="20"/>
                <w:szCs w:val="20"/>
                <w:highlight w:val="none"/>
                <w:lang w:val="en-US" w:eastAsia="zh-TW"/>
              </w:rPr>
            </w:pPr>
            <w:r>
              <w:rPr>
                <w:rFonts w:hint="eastAsia" w:eastAsia="PMingLiU"/>
                <w:sz w:val="20"/>
                <w:szCs w:val="20"/>
                <w:highlight w:val="none"/>
                <w:lang w:val="en-US" w:eastAsia="zh-TW"/>
              </w:rPr>
              <w:t>Agreements:</w:t>
            </w:r>
          </w:p>
          <w:p>
            <w:pPr>
              <w:pStyle w:val="34"/>
              <w:keepNext w:val="0"/>
              <w:keepLines w:val="0"/>
              <w:pageBreakBefore w:val="0"/>
              <w:widowControl w:val="0"/>
              <w:numPr>
                <w:ilvl w:val="1"/>
                <w:numId w:val="10"/>
              </w:numPr>
              <w:kinsoku/>
              <w:wordWrap/>
              <w:overflowPunct/>
              <w:topLinePunct w:val="0"/>
              <w:autoSpaceDE/>
              <w:autoSpaceDN/>
              <w:bidi w:val="0"/>
              <w:adjustRightInd/>
              <w:snapToGrid/>
              <w:spacing w:after="120" w:line="259" w:lineRule="auto"/>
              <w:ind w:firstLineChars="0"/>
              <w:textAlignment w:val="auto"/>
              <w:rPr>
                <w:sz w:val="20"/>
                <w:szCs w:val="20"/>
                <w:highlight w:val="none"/>
                <w:lang w:val="en-US"/>
              </w:rPr>
            </w:pPr>
            <w:r>
              <w:rPr>
                <w:rFonts w:hint="eastAsia" w:eastAsia="PMingLiU"/>
                <w:sz w:val="20"/>
                <w:szCs w:val="20"/>
                <w:highlight w:val="none"/>
                <w:lang w:val="en-US" w:eastAsia="zh-TW"/>
              </w:rPr>
              <w:t xml:space="preserve">Agree on adding the following </w:t>
            </w:r>
            <w:r>
              <w:rPr>
                <w:rFonts w:eastAsia="PMingLiU"/>
                <w:sz w:val="20"/>
                <w:szCs w:val="20"/>
                <w:highlight w:val="none"/>
                <w:lang w:val="en-US" w:eastAsia="zh-TW"/>
              </w:rPr>
              <w:t xml:space="preserve">OTA </w:t>
            </w:r>
            <w:r>
              <w:rPr>
                <w:rFonts w:hint="eastAsia" w:eastAsia="PMingLiU"/>
                <w:sz w:val="20"/>
                <w:szCs w:val="20"/>
                <w:highlight w:val="none"/>
                <w:lang w:val="en-US" w:eastAsia="zh-TW"/>
              </w:rPr>
              <w:t xml:space="preserve">SAN </w:t>
            </w:r>
            <w:r>
              <w:rPr>
                <w:rFonts w:eastAsia="PMingLiU"/>
                <w:sz w:val="20"/>
                <w:szCs w:val="20"/>
                <w:highlight w:val="none"/>
                <w:lang w:val="en-US" w:eastAsia="zh-TW"/>
              </w:rPr>
              <w:t>total power dynamic range requirement</w:t>
            </w:r>
            <w:r>
              <w:rPr>
                <w:rFonts w:hint="eastAsia" w:eastAsia="PMingLiU"/>
                <w:sz w:val="20"/>
                <w:szCs w:val="20"/>
                <w:highlight w:val="none"/>
                <w:lang w:val="en-US" w:eastAsia="zh-TW"/>
              </w:rPr>
              <w:t xml:space="preserve"> for </w:t>
            </w:r>
            <w:r>
              <w:rPr>
                <w:rFonts w:eastAsia="PMingLiU"/>
                <w:sz w:val="20"/>
                <w:szCs w:val="20"/>
                <w:highlight w:val="none"/>
                <w:lang w:val="en-US" w:eastAsia="zh-TW"/>
              </w:rPr>
              <w:t xml:space="preserve">new channel bandwidths </w:t>
            </w:r>
            <w:r>
              <w:rPr>
                <w:rFonts w:hint="eastAsia" w:eastAsia="PMingLiU"/>
                <w:sz w:val="20"/>
                <w:szCs w:val="20"/>
                <w:highlight w:val="none"/>
                <w:lang w:val="en-US" w:eastAsia="zh-TW"/>
              </w:rPr>
              <w:t xml:space="preserve">of </w:t>
            </w:r>
            <w:r>
              <w:rPr>
                <w:rFonts w:eastAsia="PMingLiU"/>
                <w:sz w:val="20"/>
                <w:szCs w:val="20"/>
                <w:highlight w:val="none"/>
                <w:lang w:val="en-US" w:eastAsia="zh-TW"/>
              </w:rPr>
              <w:t>FR1-NTN</w:t>
            </w:r>
            <w:r>
              <w:rPr>
                <w:rFonts w:hint="eastAsia" w:eastAsia="PMingLiU"/>
                <w:sz w:val="20"/>
                <w:szCs w:val="20"/>
                <w:highlight w:val="none"/>
                <w:lang w:val="en-US" w:eastAsia="zh-TW"/>
              </w:rPr>
              <w:t xml:space="preserve"> </w:t>
            </w:r>
            <w:r>
              <w:rPr>
                <w:rFonts w:eastAsia="PMingLiU"/>
                <w:sz w:val="20"/>
                <w:szCs w:val="20"/>
                <w:highlight w:val="none"/>
                <w:lang w:val="en-US" w:eastAsia="zh-TW"/>
              </w:rPr>
              <w:t>Ku bands</w:t>
            </w:r>
            <w:r>
              <w:rPr>
                <w:rFonts w:hint="eastAsia" w:eastAsia="PMingLiU"/>
                <w:sz w:val="20"/>
                <w:szCs w:val="20"/>
                <w:highlight w:val="none"/>
                <w:lang w:val="en-US" w:eastAsia="zh-TW"/>
              </w:rPr>
              <w:t>.</w:t>
            </w:r>
          </w:p>
          <w:p>
            <w:pPr>
              <w:pStyle w:val="34"/>
              <w:keepNext w:val="0"/>
              <w:keepLines w:val="0"/>
              <w:pageBreakBefore w:val="0"/>
              <w:widowControl w:val="0"/>
              <w:kinsoku/>
              <w:wordWrap/>
              <w:overflowPunct w:val="0"/>
              <w:topLinePunct w:val="0"/>
              <w:autoSpaceDE w:val="0"/>
              <w:autoSpaceDN w:val="0"/>
              <w:bidi w:val="0"/>
              <w:adjustRightInd w:val="0"/>
              <w:snapToGrid/>
              <w:spacing w:after="120" w:line="259" w:lineRule="auto"/>
              <w:ind w:left="1656" w:firstLine="0" w:firstLineChars="0"/>
              <w:jc w:val="center"/>
              <w:textAlignment w:val="baseline"/>
              <w:rPr>
                <w:rFonts w:eastAsia="PMingLiU"/>
                <w:sz w:val="20"/>
                <w:szCs w:val="20"/>
                <w:highlight w:val="none"/>
                <w:lang w:val="en-US" w:eastAsia="zh-TW"/>
              </w:rPr>
            </w:pPr>
            <w:r>
              <w:rPr>
                <w:rFonts w:hint="eastAsia" w:eastAsia="PMingLiU"/>
                <w:sz w:val="20"/>
                <w:szCs w:val="20"/>
                <w:highlight w:val="none"/>
                <w:lang w:val="en-US" w:eastAsia="zh-TW"/>
              </w:rPr>
              <w:t>Table 2-2-3.3</w:t>
            </w:r>
          </w:p>
          <w:tbl>
            <w:tblPr>
              <w:tblStyle w:val="24"/>
              <w:tblW w:w="0" w:type="auto"/>
              <w:tblInd w:w="31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6"/>
              <w:gridCol w:w="1915"/>
              <w:gridCol w:w="1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736" w:type="dxa"/>
                  <w:tcBorders>
                    <w:bottom w:val="nil"/>
                  </w:tcBorders>
                </w:tcPr>
                <w:p>
                  <w:pPr>
                    <w:pStyle w:val="65"/>
                    <w:keepNext w:val="0"/>
                    <w:keepLines w:val="0"/>
                    <w:pageBreakBefore w:val="0"/>
                    <w:widowControl w:val="0"/>
                    <w:kinsoku/>
                    <w:wordWrap/>
                    <w:overflowPunct/>
                    <w:topLinePunct w:val="0"/>
                    <w:autoSpaceDE/>
                    <w:autoSpaceDN/>
                    <w:bidi w:val="0"/>
                    <w:adjustRightInd/>
                    <w:snapToGrid/>
                    <w:spacing w:beforeLines="0" w:after="180" w:afterLines="0" w:line="240" w:lineRule="auto"/>
                    <w:textAlignment w:val="auto"/>
                    <w:rPr>
                      <w:rFonts w:eastAsia="游明朝"/>
                      <w:sz w:val="20"/>
                      <w:szCs w:val="20"/>
                      <w:highlight w:val="none"/>
                    </w:rPr>
                  </w:pPr>
                  <w:r>
                    <w:rPr>
                      <w:rFonts w:hint="eastAsia" w:eastAsia="游明朝" w:cs="v5.0.0"/>
                      <w:i/>
                      <w:sz w:val="20"/>
                      <w:szCs w:val="20"/>
                      <w:highlight w:val="none"/>
                      <w:lang w:eastAsia="zh-TW"/>
                    </w:rPr>
                    <w:t>SAN</w:t>
                  </w:r>
                  <w:r>
                    <w:rPr>
                      <w:rFonts w:eastAsia="游明朝" w:cs="v5.0.0"/>
                      <w:i/>
                      <w:sz w:val="20"/>
                      <w:szCs w:val="20"/>
                      <w:highlight w:val="none"/>
                      <w:lang w:eastAsia="zh-CN"/>
                    </w:rPr>
                    <w:t xml:space="preserve"> channel </w:t>
                  </w:r>
                </w:p>
              </w:tc>
              <w:tc>
                <w:tcPr>
                  <w:tcW w:w="3686" w:type="dxa"/>
                  <w:gridSpan w:val="2"/>
                  <w:vAlign w:val="center"/>
                </w:tcPr>
                <w:p>
                  <w:pPr>
                    <w:pStyle w:val="65"/>
                    <w:keepNext w:val="0"/>
                    <w:keepLines w:val="0"/>
                    <w:pageBreakBefore w:val="0"/>
                    <w:widowControl w:val="0"/>
                    <w:kinsoku/>
                    <w:wordWrap/>
                    <w:overflowPunct/>
                    <w:topLinePunct w:val="0"/>
                    <w:autoSpaceDE/>
                    <w:autoSpaceDN/>
                    <w:bidi w:val="0"/>
                    <w:adjustRightInd/>
                    <w:snapToGrid/>
                    <w:spacing w:beforeLines="0" w:after="180" w:afterLines="0" w:line="240" w:lineRule="auto"/>
                    <w:textAlignment w:val="auto"/>
                    <w:rPr>
                      <w:rFonts w:eastAsia="游明朝"/>
                      <w:sz w:val="20"/>
                      <w:szCs w:val="20"/>
                      <w:highlight w:val="none"/>
                      <w:lang w:val="en-US"/>
                    </w:rPr>
                  </w:pPr>
                  <w:r>
                    <w:rPr>
                      <w:rFonts w:eastAsia="游明朝" w:cs="v5.0.0"/>
                      <w:sz w:val="20"/>
                      <w:szCs w:val="20"/>
                      <w:highlight w:val="none"/>
                      <w:lang w:val="en-US"/>
                    </w:rPr>
                    <w:t>Total power dynamic range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36" w:type="dxa"/>
                  <w:tcBorders>
                    <w:top w:val="nil"/>
                  </w:tcBorders>
                </w:tcPr>
                <w:p>
                  <w:pPr>
                    <w:pStyle w:val="65"/>
                    <w:keepNext w:val="0"/>
                    <w:keepLines w:val="0"/>
                    <w:pageBreakBefore w:val="0"/>
                    <w:widowControl w:val="0"/>
                    <w:kinsoku/>
                    <w:wordWrap/>
                    <w:overflowPunct/>
                    <w:topLinePunct w:val="0"/>
                    <w:autoSpaceDE/>
                    <w:autoSpaceDN/>
                    <w:bidi w:val="0"/>
                    <w:adjustRightInd/>
                    <w:snapToGrid/>
                    <w:spacing w:beforeLines="0" w:after="180" w:afterLines="0" w:line="240" w:lineRule="auto"/>
                    <w:textAlignment w:val="auto"/>
                    <w:rPr>
                      <w:rFonts w:eastAsia="游明朝"/>
                      <w:sz w:val="20"/>
                      <w:szCs w:val="20"/>
                      <w:highlight w:val="none"/>
                    </w:rPr>
                  </w:pPr>
                  <w:r>
                    <w:rPr>
                      <w:rFonts w:eastAsia="游明朝" w:cs="v5.0.0"/>
                      <w:i/>
                      <w:sz w:val="20"/>
                      <w:szCs w:val="20"/>
                      <w:highlight w:val="none"/>
                      <w:lang w:eastAsia="zh-CN"/>
                    </w:rPr>
                    <w:t>bandwidth</w:t>
                  </w:r>
                  <w:r>
                    <w:rPr>
                      <w:rFonts w:eastAsia="游明朝" w:cs="v5.0.0"/>
                      <w:sz w:val="20"/>
                      <w:szCs w:val="20"/>
                      <w:highlight w:val="none"/>
                    </w:rPr>
                    <w:t xml:space="preserve"> (MHz)</w:t>
                  </w:r>
                </w:p>
              </w:tc>
              <w:tc>
                <w:tcPr>
                  <w:tcW w:w="1915" w:type="dxa"/>
                  <w:vAlign w:val="center"/>
                </w:tcPr>
                <w:p>
                  <w:pPr>
                    <w:pStyle w:val="65"/>
                    <w:keepNext w:val="0"/>
                    <w:keepLines w:val="0"/>
                    <w:pageBreakBefore w:val="0"/>
                    <w:widowControl w:val="0"/>
                    <w:kinsoku/>
                    <w:wordWrap/>
                    <w:overflowPunct/>
                    <w:topLinePunct w:val="0"/>
                    <w:autoSpaceDE/>
                    <w:autoSpaceDN/>
                    <w:bidi w:val="0"/>
                    <w:adjustRightInd/>
                    <w:snapToGrid/>
                    <w:spacing w:beforeLines="0" w:after="180" w:afterLines="0" w:line="240" w:lineRule="auto"/>
                    <w:textAlignment w:val="auto"/>
                    <w:rPr>
                      <w:rFonts w:eastAsia="游明朝"/>
                      <w:sz w:val="20"/>
                      <w:szCs w:val="20"/>
                      <w:highlight w:val="none"/>
                    </w:rPr>
                  </w:pPr>
                  <w:r>
                    <w:rPr>
                      <w:rFonts w:eastAsia="游明朝" w:cs="v5.0.0"/>
                      <w:sz w:val="20"/>
                      <w:szCs w:val="20"/>
                      <w:highlight w:val="none"/>
                    </w:rPr>
                    <w:t>15</w:t>
                  </w:r>
                  <w:r>
                    <w:rPr>
                      <w:rFonts w:eastAsia="游明朝" w:cs="v5.0.0"/>
                      <w:sz w:val="20"/>
                      <w:szCs w:val="20"/>
                      <w:highlight w:val="none"/>
                      <w:lang w:eastAsia="zh-CN"/>
                    </w:rPr>
                    <w:t xml:space="preserve"> </w:t>
                  </w:r>
                  <w:r>
                    <w:rPr>
                      <w:rFonts w:eastAsia="游明朝" w:cs="v5.0.0"/>
                      <w:sz w:val="20"/>
                      <w:szCs w:val="20"/>
                      <w:highlight w:val="none"/>
                    </w:rPr>
                    <w:t>kHz SCS</w:t>
                  </w:r>
                </w:p>
              </w:tc>
              <w:tc>
                <w:tcPr>
                  <w:tcW w:w="1771" w:type="dxa"/>
                  <w:vAlign w:val="center"/>
                </w:tcPr>
                <w:p>
                  <w:pPr>
                    <w:pStyle w:val="65"/>
                    <w:keepNext w:val="0"/>
                    <w:keepLines w:val="0"/>
                    <w:pageBreakBefore w:val="0"/>
                    <w:widowControl w:val="0"/>
                    <w:kinsoku/>
                    <w:wordWrap/>
                    <w:overflowPunct/>
                    <w:topLinePunct w:val="0"/>
                    <w:autoSpaceDE/>
                    <w:autoSpaceDN/>
                    <w:bidi w:val="0"/>
                    <w:adjustRightInd/>
                    <w:snapToGrid/>
                    <w:spacing w:beforeLines="0" w:after="180" w:afterLines="0" w:line="240" w:lineRule="auto"/>
                    <w:textAlignment w:val="auto"/>
                    <w:rPr>
                      <w:rFonts w:eastAsia="游明朝"/>
                      <w:sz w:val="20"/>
                      <w:szCs w:val="20"/>
                      <w:highlight w:val="none"/>
                    </w:rPr>
                  </w:pPr>
                  <w:r>
                    <w:rPr>
                      <w:rFonts w:eastAsia="游明朝" w:cs="v5.0.0"/>
                      <w:sz w:val="20"/>
                      <w:szCs w:val="20"/>
                      <w:highlight w:val="none"/>
                    </w:rPr>
                    <w:t>30</w:t>
                  </w:r>
                  <w:r>
                    <w:rPr>
                      <w:rFonts w:eastAsia="游明朝" w:cs="v5.0.0"/>
                      <w:sz w:val="20"/>
                      <w:szCs w:val="20"/>
                      <w:highlight w:val="none"/>
                      <w:lang w:eastAsia="zh-CN"/>
                    </w:rPr>
                    <w:t xml:space="preserve"> </w:t>
                  </w:r>
                  <w:r>
                    <w:rPr>
                      <w:rFonts w:eastAsia="游明朝" w:cs="v5.0.0"/>
                      <w:sz w:val="20"/>
                      <w:szCs w:val="20"/>
                      <w:highlight w:val="none"/>
                    </w:rPr>
                    <w:t>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36" w:type="dxa"/>
                </w:tcPr>
                <w:p>
                  <w:pPr>
                    <w:pStyle w:val="57"/>
                    <w:keepNext w:val="0"/>
                    <w:keepLines w:val="0"/>
                    <w:pageBreakBefore w:val="0"/>
                    <w:widowControl w:val="0"/>
                    <w:kinsoku/>
                    <w:wordWrap/>
                    <w:overflowPunct/>
                    <w:topLinePunct w:val="0"/>
                    <w:autoSpaceDE/>
                    <w:autoSpaceDN/>
                    <w:bidi w:val="0"/>
                    <w:adjustRightInd/>
                    <w:snapToGrid/>
                    <w:spacing w:beforeLines="0" w:after="180" w:afterLines="0" w:line="240" w:lineRule="auto"/>
                    <w:textAlignment w:val="auto"/>
                    <w:rPr>
                      <w:rFonts w:eastAsia="游明朝"/>
                      <w:sz w:val="20"/>
                      <w:szCs w:val="20"/>
                      <w:highlight w:val="none"/>
                    </w:rPr>
                  </w:pPr>
                  <w:r>
                    <w:rPr>
                      <w:rFonts w:eastAsia="游明朝"/>
                      <w:sz w:val="20"/>
                      <w:szCs w:val="20"/>
                      <w:highlight w:val="none"/>
                    </w:rPr>
                    <w:t>25</w:t>
                  </w:r>
                </w:p>
              </w:tc>
              <w:tc>
                <w:tcPr>
                  <w:tcW w:w="1915" w:type="dxa"/>
                </w:tcPr>
                <w:p>
                  <w:pPr>
                    <w:pStyle w:val="57"/>
                    <w:keepNext w:val="0"/>
                    <w:keepLines w:val="0"/>
                    <w:pageBreakBefore w:val="0"/>
                    <w:widowControl w:val="0"/>
                    <w:kinsoku/>
                    <w:wordWrap/>
                    <w:overflowPunct/>
                    <w:topLinePunct w:val="0"/>
                    <w:autoSpaceDE/>
                    <w:autoSpaceDN/>
                    <w:bidi w:val="0"/>
                    <w:adjustRightInd/>
                    <w:snapToGrid/>
                    <w:spacing w:beforeLines="0" w:after="180" w:afterLines="0" w:line="240" w:lineRule="auto"/>
                    <w:textAlignment w:val="auto"/>
                    <w:rPr>
                      <w:rFonts w:eastAsia="游明朝"/>
                      <w:sz w:val="20"/>
                      <w:szCs w:val="20"/>
                      <w:highlight w:val="none"/>
                    </w:rPr>
                  </w:pPr>
                  <w:r>
                    <w:rPr>
                      <w:rFonts w:eastAsia="游明朝"/>
                      <w:sz w:val="20"/>
                      <w:szCs w:val="20"/>
                      <w:highlight w:val="none"/>
                    </w:rPr>
                    <w:t>21.2</w:t>
                  </w:r>
                </w:p>
              </w:tc>
              <w:tc>
                <w:tcPr>
                  <w:tcW w:w="1771" w:type="dxa"/>
                  <w:vAlign w:val="center"/>
                </w:tcPr>
                <w:p>
                  <w:pPr>
                    <w:pStyle w:val="57"/>
                    <w:keepNext w:val="0"/>
                    <w:keepLines w:val="0"/>
                    <w:pageBreakBefore w:val="0"/>
                    <w:widowControl w:val="0"/>
                    <w:kinsoku/>
                    <w:wordWrap/>
                    <w:overflowPunct/>
                    <w:topLinePunct w:val="0"/>
                    <w:autoSpaceDE/>
                    <w:autoSpaceDN/>
                    <w:bidi w:val="0"/>
                    <w:adjustRightInd/>
                    <w:snapToGrid/>
                    <w:spacing w:beforeLines="0" w:after="180" w:afterLines="0" w:line="240" w:lineRule="auto"/>
                    <w:textAlignment w:val="auto"/>
                    <w:rPr>
                      <w:rFonts w:eastAsia="游明朝"/>
                      <w:sz w:val="20"/>
                      <w:szCs w:val="20"/>
                      <w:highlight w:val="none"/>
                    </w:rPr>
                  </w:pPr>
                  <w:r>
                    <w:rPr>
                      <w:rFonts w:eastAsia="游明朝"/>
                      <w:sz w:val="20"/>
                      <w:szCs w:val="20"/>
                      <w:highlight w:val="none"/>
                    </w:rPr>
                    <w:t>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36" w:type="dxa"/>
                </w:tcPr>
                <w:p>
                  <w:pPr>
                    <w:pStyle w:val="57"/>
                    <w:keepNext w:val="0"/>
                    <w:keepLines w:val="0"/>
                    <w:pageBreakBefore w:val="0"/>
                    <w:widowControl w:val="0"/>
                    <w:kinsoku/>
                    <w:wordWrap/>
                    <w:overflowPunct/>
                    <w:topLinePunct w:val="0"/>
                    <w:autoSpaceDE/>
                    <w:autoSpaceDN/>
                    <w:bidi w:val="0"/>
                    <w:adjustRightInd/>
                    <w:snapToGrid/>
                    <w:spacing w:beforeLines="0" w:after="180" w:afterLines="0" w:line="240" w:lineRule="auto"/>
                    <w:textAlignment w:val="auto"/>
                    <w:rPr>
                      <w:rFonts w:eastAsia="游明朝"/>
                      <w:sz w:val="20"/>
                      <w:szCs w:val="20"/>
                      <w:highlight w:val="none"/>
                    </w:rPr>
                  </w:pPr>
                  <w:r>
                    <w:rPr>
                      <w:rFonts w:hint="eastAsia" w:eastAsia="游明朝"/>
                      <w:sz w:val="20"/>
                      <w:szCs w:val="20"/>
                      <w:highlight w:val="none"/>
                      <w:lang w:eastAsia="zh-CN"/>
                    </w:rPr>
                    <w:t>3</w:t>
                  </w:r>
                  <w:r>
                    <w:rPr>
                      <w:rFonts w:eastAsia="游明朝"/>
                      <w:sz w:val="20"/>
                      <w:szCs w:val="20"/>
                      <w:highlight w:val="none"/>
                      <w:lang w:eastAsia="zh-CN"/>
                    </w:rPr>
                    <w:t>5</w:t>
                  </w:r>
                </w:p>
              </w:tc>
              <w:tc>
                <w:tcPr>
                  <w:tcW w:w="1915" w:type="dxa"/>
                </w:tcPr>
                <w:p>
                  <w:pPr>
                    <w:pStyle w:val="57"/>
                    <w:keepNext w:val="0"/>
                    <w:keepLines w:val="0"/>
                    <w:pageBreakBefore w:val="0"/>
                    <w:widowControl w:val="0"/>
                    <w:kinsoku/>
                    <w:wordWrap/>
                    <w:overflowPunct/>
                    <w:topLinePunct w:val="0"/>
                    <w:autoSpaceDE/>
                    <w:autoSpaceDN/>
                    <w:bidi w:val="0"/>
                    <w:adjustRightInd/>
                    <w:snapToGrid/>
                    <w:spacing w:beforeLines="0" w:after="180" w:afterLines="0" w:line="240" w:lineRule="auto"/>
                    <w:textAlignment w:val="auto"/>
                    <w:rPr>
                      <w:rFonts w:eastAsia="游明朝"/>
                      <w:sz w:val="20"/>
                      <w:szCs w:val="20"/>
                      <w:highlight w:val="none"/>
                    </w:rPr>
                  </w:pPr>
                  <w:r>
                    <w:rPr>
                      <w:rFonts w:hint="eastAsia" w:eastAsia="游明朝"/>
                      <w:sz w:val="20"/>
                      <w:szCs w:val="20"/>
                      <w:highlight w:val="none"/>
                      <w:lang w:eastAsia="zh-CN"/>
                    </w:rPr>
                    <w:t>2</w:t>
                  </w:r>
                  <w:r>
                    <w:rPr>
                      <w:rFonts w:eastAsia="游明朝"/>
                      <w:sz w:val="20"/>
                      <w:szCs w:val="20"/>
                      <w:highlight w:val="none"/>
                      <w:lang w:eastAsia="zh-CN"/>
                    </w:rPr>
                    <w:t>2.7</w:t>
                  </w:r>
                </w:p>
              </w:tc>
              <w:tc>
                <w:tcPr>
                  <w:tcW w:w="1771" w:type="dxa"/>
                  <w:vAlign w:val="center"/>
                </w:tcPr>
                <w:p>
                  <w:pPr>
                    <w:pStyle w:val="57"/>
                    <w:keepNext w:val="0"/>
                    <w:keepLines w:val="0"/>
                    <w:pageBreakBefore w:val="0"/>
                    <w:widowControl w:val="0"/>
                    <w:kinsoku/>
                    <w:wordWrap/>
                    <w:overflowPunct/>
                    <w:topLinePunct w:val="0"/>
                    <w:autoSpaceDE/>
                    <w:autoSpaceDN/>
                    <w:bidi w:val="0"/>
                    <w:adjustRightInd/>
                    <w:snapToGrid/>
                    <w:spacing w:beforeLines="0" w:after="180" w:afterLines="0" w:line="240" w:lineRule="auto"/>
                    <w:textAlignment w:val="auto"/>
                    <w:rPr>
                      <w:rFonts w:eastAsia="游明朝"/>
                      <w:sz w:val="20"/>
                      <w:szCs w:val="20"/>
                      <w:highlight w:val="none"/>
                    </w:rPr>
                  </w:pPr>
                  <w:r>
                    <w:rPr>
                      <w:rFonts w:hint="eastAsia" w:eastAsia="游明朝"/>
                      <w:sz w:val="20"/>
                      <w:szCs w:val="20"/>
                      <w:highlight w:val="none"/>
                      <w:lang w:eastAsia="zh-CN"/>
                    </w:rPr>
                    <w:t>1</w:t>
                  </w:r>
                  <w:r>
                    <w:rPr>
                      <w:rFonts w:eastAsia="游明朝"/>
                      <w:sz w:val="20"/>
                      <w:szCs w:val="20"/>
                      <w:highlight w:val="none"/>
                      <w:lang w:eastAsia="zh-CN"/>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36" w:type="dxa"/>
                </w:tcPr>
                <w:p>
                  <w:pPr>
                    <w:pStyle w:val="57"/>
                    <w:keepNext w:val="0"/>
                    <w:keepLines w:val="0"/>
                    <w:pageBreakBefore w:val="0"/>
                    <w:widowControl w:val="0"/>
                    <w:kinsoku/>
                    <w:wordWrap/>
                    <w:overflowPunct/>
                    <w:topLinePunct w:val="0"/>
                    <w:autoSpaceDE/>
                    <w:autoSpaceDN/>
                    <w:bidi w:val="0"/>
                    <w:adjustRightInd/>
                    <w:snapToGrid/>
                    <w:spacing w:beforeLines="0" w:after="180" w:afterLines="0" w:line="240" w:lineRule="auto"/>
                    <w:textAlignment w:val="auto"/>
                    <w:rPr>
                      <w:rFonts w:eastAsia="游明朝"/>
                      <w:sz w:val="20"/>
                      <w:szCs w:val="20"/>
                      <w:highlight w:val="none"/>
                    </w:rPr>
                  </w:pPr>
                  <w:r>
                    <w:rPr>
                      <w:rFonts w:eastAsia="游明朝"/>
                      <w:sz w:val="20"/>
                      <w:szCs w:val="20"/>
                      <w:highlight w:val="none"/>
                    </w:rPr>
                    <w:t>50</w:t>
                  </w:r>
                </w:p>
              </w:tc>
              <w:tc>
                <w:tcPr>
                  <w:tcW w:w="1915" w:type="dxa"/>
                </w:tcPr>
                <w:p>
                  <w:pPr>
                    <w:pStyle w:val="57"/>
                    <w:keepNext w:val="0"/>
                    <w:keepLines w:val="0"/>
                    <w:pageBreakBefore w:val="0"/>
                    <w:widowControl w:val="0"/>
                    <w:kinsoku/>
                    <w:wordWrap/>
                    <w:overflowPunct/>
                    <w:topLinePunct w:val="0"/>
                    <w:autoSpaceDE/>
                    <w:autoSpaceDN/>
                    <w:bidi w:val="0"/>
                    <w:adjustRightInd/>
                    <w:snapToGrid/>
                    <w:spacing w:beforeLines="0" w:after="180" w:afterLines="0" w:line="240" w:lineRule="auto"/>
                    <w:textAlignment w:val="auto"/>
                    <w:rPr>
                      <w:rFonts w:eastAsia="游明朝"/>
                      <w:sz w:val="20"/>
                      <w:szCs w:val="20"/>
                      <w:highlight w:val="none"/>
                    </w:rPr>
                  </w:pPr>
                  <w:r>
                    <w:rPr>
                      <w:rFonts w:eastAsia="游明朝"/>
                      <w:sz w:val="20"/>
                      <w:szCs w:val="20"/>
                      <w:highlight w:val="none"/>
                    </w:rPr>
                    <w:t>24.3</w:t>
                  </w:r>
                </w:p>
              </w:tc>
              <w:tc>
                <w:tcPr>
                  <w:tcW w:w="1771" w:type="dxa"/>
                  <w:vAlign w:val="center"/>
                </w:tcPr>
                <w:p>
                  <w:pPr>
                    <w:pStyle w:val="57"/>
                    <w:keepNext w:val="0"/>
                    <w:keepLines w:val="0"/>
                    <w:pageBreakBefore w:val="0"/>
                    <w:widowControl w:val="0"/>
                    <w:kinsoku/>
                    <w:wordWrap/>
                    <w:overflowPunct/>
                    <w:topLinePunct w:val="0"/>
                    <w:autoSpaceDE/>
                    <w:autoSpaceDN/>
                    <w:bidi w:val="0"/>
                    <w:adjustRightInd/>
                    <w:snapToGrid/>
                    <w:spacing w:beforeLines="0" w:after="180" w:afterLines="0" w:line="240" w:lineRule="auto"/>
                    <w:textAlignment w:val="auto"/>
                    <w:rPr>
                      <w:rFonts w:eastAsia="游明朝"/>
                      <w:sz w:val="20"/>
                      <w:szCs w:val="20"/>
                      <w:highlight w:val="none"/>
                    </w:rPr>
                  </w:pPr>
                  <w:r>
                    <w:rPr>
                      <w:rFonts w:eastAsia="游明朝"/>
                      <w:sz w:val="20"/>
                      <w:szCs w:val="20"/>
                      <w:highlight w:val="none"/>
                    </w:rPr>
                    <w:t>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36" w:type="dxa"/>
                </w:tcPr>
                <w:p>
                  <w:pPr>
                    <w:pStyle w:val="57"/>
                    <w:keepNext w:val="0"/>
                    <w:keepLines w:val="0"/>
                    <w:pageBreakBefore w:val="0"/>
                    <w:widowControl w:val="0"/>
                    <w:kinsoku/>
                    <w:wordWrap/>
                    <w:overflowPunct/>
                    <w:topLinePunct w:val="0"/>
                    <w:autoSpaceDE/>
                    <w:autoSpaceDN/>
                    <w:bidi w:val="0"/>
                    <w:adjustRightInd/>
                    <w:snapToGrid/>
                    <w:spacing w:beforeLines="0" w:after="180" w:afterLines="0" w:line="240" w:lineRule="auto"/>
                    <w:textAlignment w:val="auto"/>
                    <w:rPr>
                      <w:rFonts w:eastAsia="游明朝"/>
                      <w:sz w:val="20"/>
                      <w:szCs w:val="20"/>
                      <w:highlight w:val="none"/>
                    </w:rPr>
                  </w:pPr>
                  <w:r>
                    <w:rPr>
                      <w:rFonts w:eastAsia="游明朝"/>
                      <w:sz w:val="20"/>
                      <w:szCs w:val="20"/>
                      <w:highlight w:val="none"/>
                    </w:rPr>
                    <w:t>70</w:t>
                  </w:r>
                </w:p>
              </w:tc>
              <w:tc>
                <w:tcPr>
                  <w:tcW w:w="1915" w:type="dxa"/>
                </w:tcPr>
                <w:p>
                  <w:pPr>
                    <w:pStyle w:val="57"/>
                    <w:keepNext w:val="0"/>
                    <w:keepLines w:val="0"/>
                    <w:pageBreakBefore w:val="0"/>
                    <w:widowControl w:val="0"/>
                    <w:kinsoku/>
                    <w:wordWrap/>
                    <w:overflowPunct/>
                    <w:topLinePunct w:val="0"/>
                    <w:autoSpaceDE/>
                    <w:autoSpaceDN/>
                    <w:bidi w:val="0"/>
                    <w:adjustRightInd/>
                    <w:snapToGrid/>
                    <w:spacing w:beforeLines="0" w:after="180" w:afterLines="0" w:line="240" w:lineRule="auto"/>
                    <w:textAlignment w:val="auto"/>
                    <w:rPr>
                      <w:rFonts w:eastAsia="游明朝"/>
                      <w:sz w:val="20"/>
                      <w:szCs w:val="20"/>
                      <w:highlight w:val="none"/>
                    </w:rPr>
                  </w:pPr>
                  <w:r>
                    <w:rPr>
                      <w:rFonts w:eastAsia="游明朝"/>
                      <w:sz w:val="20"/>
                      <w:szCs w:val="20"/>
                      <w:highlight w:val="none"/>
                    </w:rPr>
                    <w:t>N/A</w:t>
                  </w:r>
                </w:p>
              </w:tc>
              <w:tc>
                <w:tcPr>
                  <w:tcW w:w="1771" w:type="dxa"/>
                  <w:vAlign w:val="center"/>
                </w:tcPr>
                <w:p>
                  <w:pPr>
                    <w:pStyle w:val="57"/>
                    <w:keepNext w:val="0"/>
                    <w:keepLines w:val="0"/>
                    <w:pageBreakBefore w:val="0"/>
                    <w:widowControl w:val="0"/>
                    <w:kinsoku/>
                    <w:wordWrap/>
                    <w:overflowPunct/>
                    <w:topLinePunct w:val="0"/>
                    <w:autoSpaceDE/>
                    <w:autoSpaceDN/>
                    <w:bidi w:val="0"/>
                    <w:adjustRightInd/>
                    <w:snapToGrid/>
                    <w:spacing w:beforeLines="0" w:after="180" w:afterLines="0" w:line="240" w:lineRule="auto"/>
                    <w:textAlignment w:val="auto"/>
                    <w:rPr>
                      <w:rFonts w:eastAsia="游明朝"/>
                      <w:sz w:val="20"/>
                      <w:szCs w:val="20"/>
                      <w:highlight w:val="none"/>
                    </w:rPr>
                  </w:pPr>
                  <w:r>
                    <w:rPr>
                      <w:rFonts w:eastAsia="游明朝"/>
                      <w:sz w:val="20"/>
                      <w:szCs w:val="20"/>
                      <w:highlight w:val="none"/>
                    </w:rPr>
                    <w:t>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36" w:type="dxa"/>
                </w:tcPr>
                <w:p>
                  <w:pPr>
                    <w:pStyle w:val="57"/>
                    <w:keepNext w:val="0"/>
                    <w:keepLines w:val="0"/>
                    <w:pageBreakBefore w:val="0"/>
                    <w:widowControl w:val="0"/>
                    <w:kinsoku/>
                    <w:wordWrap/>
                    <w:overflowPunct/>
                    <w:topLinePunct w:val="0"/>
                    <w:autoSpaceDE/>
                    <w:autoSpaceDN/>
                    <w:bidi w:val="0"/>
                    <w:adjustRightInd/>
                    <w:snapToGrid/>
                    <w:spacing w:beforeLines="0" w:after="180" w:afterLines="0" w:line="240" w:lineRule="auto"/>
                    <w:textAlignment w:val="auto"/>
                    <w:rPr>
                      <w:rFonts w:eastAsia="游明朝"/>
                      <w:sz w:val="20"/>
                      <w:szCs w:val="20"/>
                      <w:highlight w:val="none"/>
                    </w:rPr>
                  </w:pPr>
                  <w:r>
                    <w:rPr>
                      <w:rFonts w:eastAsia="游明朝"/>
                      <w:sz w:val="20"/>
                      <w:szCs w:val="20"/>
                      <w:highlight w:val="none"/>
                    </w:rPr>
                    <w:t>100</w:t>
                  </w:r>
                </w:p>
              </w:tc>
              <w:tc>
                <w:tcPr>
                  <w:tcW w:w="1915" w:type="dxa"/>
                </w:tcPr>
                <w:p>
                  <w:pPr>
                    <w:pStyle w:val="57"/>
                    <w:keepNext w:val="0"/>
                    <w:keepLines w:val="0"/>
                    <w:pageBreakBefore w:val="0"/>
                    <w:widowControl w:val="0"/>
                    <w:kinsoku/>
                    <w:wordWrap/>
                    <w:overflowPunct/>
                    <w:topLinePunct w:val="0"/>
                    <w:autoSpaceDE/>
                    <w:autoSpaceDN/>
                    <w:bidi w:val="0"/>
                    <w:adjustRightInd/>
                    <w:snapToGrid/>
                    <w:spacing w:beforeLines="0" w:after="180" w:afterLines="0" w:line="240" w:lineRule="auto"/>
                    <w:textAlignment w:val="auto"/>
                    <w:rPr>
                      <w:rFonts w:eastAsia="游明朝"/>
                      <w:sz w:val="20"/>
                      <w:szCs w:val="20"/>
                      <w:highlight w:val="none"/>
                    </w:rPr>
                  </w:pPr>
                  <w:r>
                    <w:rPr>
                      <w:rFonts w:eastAsia="游明朝"/>
                      <w:sz w:val="20"/>
                      <w:szCs w:val="20"/>
                      <w:highlight w:val="none"/>
                    </w:rPr>
                    <w:t>N/A</w:t>
                  </w:r>
                </w:p>
              </w:tc>
              <w:tc>
                <w:tcPr>
                  <w:tcW w:w="1771" w:type="dxa"/>
                  <w:vAlign w:val="center"/>
                </w:tcPr>
                <w:p>
                  <w:pPr>
                    <w:pStyle w:val="57"/>
                    <w:keepNext w:val="0"/>
                    <w:keepLines w:val="0"/>
                    <w:pageBreakBefore w:val="0"/>
                    <w:widowControl w:val="0"/>
                    <w:kinsoku/>
                    <w:wordWrap/>
                    <w:overflowPunct/>
                    <w:topLinePunct w:val="0"/>
                    <w:autoSpaceDE/>
                    <w:autoSpaceDN/>
                    <w:bidi w:val="0"/>
                    <w:adjustRightInd/>
                    <w:snapToGrid/>
                    <w:spacing w:beforeLines="0" w:after="180" w:afterLines="0" w:line="240" w:lineRule="auto"/>
                    <w:textAlignment w:val="auto"/>
                    <w:rPr>
                      <w:rFonts w:eastAsia="游明朝"/>
                      <w:sz w:val="20"/>
                      <w:szCs w:val="20"/>
                      <w:highlight w:val="none"/>
                    </w:rPr>
                  </w:pPr>
                  <w:r>
                    <w:rPr>
                      <w:rFonts w:eastAsia="游明朝"/>
                      <w:sz w:val="20"/>
                      <w:szCs w:val="20"/>
                      <w:highlight w:val="none"/>
                    </w:rPr>
                    <w:t>24.3</w:t>
                  </w:r>
                </w:p>
              </w:tc>
            </w:tr>
          </w:tbl>
          <w:p>
            <w:pPr>
              <w:keepNext w:val="0"/>
              <w:keepLines w:val="0"/>
              <w:pageBreakBefore w:val="0"/>
              <w:widowControl w:val="0"/>
              <w:kinsoku/>
              <w:wordWrap/>
              <w:overflowPunct w:val="0"/>
              <w:topLinePunct w:val="0"/>
              <w:autoSpaceDE w:val="0"/>
              <w:autoSpaceDN w:val="0"/>
              <w:bidi w:val="0"/>
              <w:adjustRightInd w:val="0"/>
              <w:snapToGrid/>
              <w:spacing w:after="180"/>
              <w:textAlignment w:val="baseline"/>
              <w:rPr>
                <w:rFonts w:eastAsia="PMingLiU"/>
                <w:sz w:val="20"/>
                <w:szCs w:val="20"/>
                <w:highlight w:val="none"/>
                <w:lang w:val="en-US" w:eastAsia="zh-TW"/>
              </w:rPr>
            </w:pPr>
          </w:p>
          <w:p>
            <w:pPr>
              <w:pStyle w:val="5"/>
              <w:keepNext w:val="0"/>
              <w:keepLines w:val="0"/>
              <w:pageBreakBefore w:val="0"/>
              <w:widowControl w:val="0"/>
              <w:numPr>
                <w:ilvl w:val="0"/>
                <w:numId w:val="0"/>
              </w:numPr>
              <w:kinsoku/>
              <w:wordWrap/>
              <w:overflowPunct w:val="0"/>
              <w:topLinePunct w:val="0"/>
              <w:autoSpaceDE w:val="0"/>
              <w:autoSpaceDN w:val="0"/>
              <w:bidi w:val="0"/>
              <w:adjustRightInd w:val="0"/>
              <w:snapToGrid/>
              <w:textAlignment w:val="baseline"/>
              <w:rPr>
                <w:rFonts w:eastAsia="PMingLiU"/>
                <w:sz w:val="20"/>
                <w:szCs w:val="20"/>
                <w:highlight w:val="none"/>
                <w:lang w:val="en-US" w:eastAsia="zh-TW"/>
              </w:rPr>
            </w:pPr>
            <w:r>
              <w:rPr>
                <w:sz w:val="20"/>
                <w:szCs w:val="20"/>
                <w:highlight w:val="none"/>
                <w:lang w:val="en-US"/>
              </w:rPr>
              <w:t>Issue 2-</w:t>
            </w:r>
            <w:r>
              <w:rPr>
                <w:rFonts w:hint="eastAsia" w:eastAsia="PMingLiU"/>
                <w:sz w:val="20"/>
                <w:szCs w:val="20"/>
                <w:highlight w:val="none"/>
                <w:lang w:val="en-US" w:eastAsia="zh-TW"/>
              </w:rPr>
              <w:t>2</w:t>
            </w:r>
            <w:r>
              <w:rPr>
                <w:sz w:val="20"/>
                <w:szCs w:val="20"/>
                <w:highlight w:val="none"/>
                <w:lang w:val="en-US"/>
              </w:rPr>
              <w:t>-</w:t>
            </w:r>
            <w:r>
              <w:rPr>
                <w:rFonts w:hint="eastAsia" w:eastAsia="PMingLiU"/>
                <w:sz w:val="20"/>
                <w:szCs w:val="20"/>
                <w:highlight w:val="none"/>
                <w:lang w:val="en-US" w:eastAsia="zh-TW"/>
              </w:rPr>
              <w:t>5</w:t>
            </w:r>
            <w:r>
              <w:rPr>
                <w:sz w:val="20"/>
                <w:szCs w:val="20"/>
                <w:highlight w:val="none"/>
                <w:lang w:val="en-US"/>
              </w:rPr>
              <w:t xml:space="preserve">: </w:t>
            </w:r>
            <w:r>
              <w:rPr>
                <w:rFonts w:eastAsia="PMingLiU"/>
                <w:sz w:val="20"/>
                <w:szCs w:val="20"/>
                <w:highlight w:val="none"/>
                <w:lang w:val="en-US" w:eastAsia="zh-TW"/>
              </w:rPr>
              <w:t xml:space="preserve"> </w:t>
            </w:r>
            <w:r>
              <w:rPr>
                <w:rFonts w:hint="eastAsia" w:eastAsia="PMingLiU"/>
                <w:sz w:val="20"/>
                <w:szCs w:val="20"/>
                <w:highlight w:val="none"/>
                <w:lang w:val="en-US" w:eastAsia="zh-TW"/>
              </w:rPr>
              <w:t>OTA sensitivity for the Ku band SAN</w:t>
            </w:r>
          </w:p>
          <w:p>
            <w:pPr>
              <w:pStyle w:val="34"/>
              <w:keepNext w:val="0"/>
              <w:keepLines w:val="0"/>
              <w:pageBreakBefore w:val="0"/>
              <w:widowControl w:val="0"/>
              <w:numPr>
                <w:ilvl w:val="0"/>
                <w:numId w:val="10"/>
              </w:numPr>
              <w:kinsoku/>
              <w:wordWrap/>
              <w:overflowPunct/>
              <w:topLinePunct w:val="0"/>
              <w:autoSpaceDE/>
              <w:autoSpaceDN/>
              <w:bidi w:val="0"/>
              <w:adjustRightInd/>
              <w:snapToGrid/>
              <w:spacing w:after="120" w:line="259" w:lineRule="auto"/>
              <w:ind w:left="720" w:firstLineChars="0"/>
              <w:textAlignment w:val="auto"/>
              <w:rPr>
                <w:sz w:val="20"/>
                <w:szCs w:val="20"/>
                <w:highlight w:val="none"/>
                <w:lang w:val="en-US"/>
              </w:rPr>
            </w:pPr>
            <w:r>
              <w:rPr>
                <w:sz w:val="20"/>
                <w:szCs w:val="20"/>
                <w:highlight w:val="none"/>
                <w:lang w:val="en-US"/>
              </w:rPr>
              <w:t>Proposals:</w:t>
            </w:r>
            <w:r>
              <w:rPr>
                <w:rFonts w:hint="eastAsia" w:eastAsia="PMingLiU"/>
                <w:sz w:val="20"/>
                <w:szCs w:val="20"/>
                <w:highlight w:val="none"/>
                <w:lang w:val="en-US" w:eastAsia="zh-TW"/>
              </w:rPr>
              <w:t xml:space="preserve"> </w:t>
            </w:r>
          </w:p>
          <w:p>
            <w:pPr>
              <w:pStyle w:val="34"/>
              <w:keepNext w:val="0"/>
              <w:keepLines w:val="0"/>
              <w:pageBreakBefore w:val="0"/>
              <w:widowControl w:val="0"/>
              <w:numPr>
                <w:ilvl w:val="1"/>
                <w:numId w:val="10"/>
              </w:numPr>
              <w:kinsoku/>
              <w:wordWrap/>
              <w:overflowPunct w:val="0"/>
              <w:topLinePunct w:val="0"/>
              <w:autoSpaceDE w:val="0"/>
              <w:autoSpaceDN w:val="0"/>
              <w:bidi w:val="0"/>
              <w:adjustRightInd w:val="0"/>
              <w:snapToGrid/>
              <w:spacing w:after="120" w:line="259" w:lineRule="auto"/>
              <w:ind w:firstLineChars="0"/>
              <w:textAlignment w:val="baseline"/>
              <w:rPr>
                <w:rFonts w:eastAsia="PMingLiU"/>
                <w:sz w:val="20"/>
                <w:szCs w:val="20"/>
                <w:highlight w:val="none"/>
                <w:lang w:val="en-US" w:eastAsia="zh-TW"/>
              </w:rPr>
            </w:pPr>
            <w:r>
              <w:rPr>
                <w:rFonts w:eastAsia="PMingLiU"/>
                <w:sz w:val="20"/>
                <w:szCs w:val="20"/>
                <w:highlight w:val="none"/>
                <w:lang w:val="en-US" w:eastAsia="zh-TW"/>
              </w:rPr>
              <w:t xml:space="preserve">Proposal </w:t>
            </w:r>
            <w:r>
              <w:rPr>
                <w:rFonts w:hint="eastAsia" w:eastAsia="PMingLiU"/>
                <w:sz w:val="20"/>
                <w:szCs w:val="20"/>
                <w:highlight w:val="none"/>
                <w:lang w:val="en-US" w:eastAsia="zh-TW"/>
              </w:rPr>
              <w:t>1 (ZTE)</w:t>
            </w:r>
            <w:r>
              <w:rPr>
                <w:rFonts w:eastAsia="PMingLiU"/>
                <w:sz w:val="20"/>
                <w:szCs w:val="20"/>
                <w:highlight w:val="none"/>
                <w:lang w:val="en-US" w:eastAsia="zh-TW"/>
              </w:rPr>
              <w:t>: It is proposed not to specify OTA sensitivity for NTN Ku bands.</w:t>
            </w:r>
          </w:p>
          <w:p>
            <w:pPr>
              <w:pStyle w:val="34"/>
              <w:keepNext w:val="0"/>
              <w:keepLines w:val="0"/>
              <w:pageBreakBefore w:val="0"/>
              <w:widowControl w:val="0"/>
              <w:numPr>
                <w:ilvl w:val="1"/>
                <w:numId w:val="10"/>
              </w:numPr>
              <w:kinsoku/>
              <w:wordWrap/>
              <w:overflowPunct w:val="0"/>
              <w:topLinePunct w:val="0"/>
              <w:autoSpaceDE w:val="0"/>
              <w:autoSpaceDN w:val="0"/>
              <w:bidi w:val="0"/>
              <w:adjustRightInd w:val="0"/>
              <w:snapToGrid/>
              <w:spacing w:after="180"/>
              <w:ind w:firstLineChars="0"/>
              <w:textAlignment w:val="baseline"/>
              <w:rPr>
                <w:rFonts w:eastAsia="PMingLiU"/>
                <w:sz w:val="20"/>
                <w:szCs w:val="20"/>
                <w:highlight w:val="none"/>
                <w:lang w:val="en-US" w:eastAsia="zh-TW"/>
              </w:rPr>
            </w:pPr>
            <w:r>
              <w:rPr>
                <w:rFonts w:hint="eastAsia" w:eastAsia="PMingLiU"/>
                <w:sz w:val="20"/>
                <w:szCs w:val="20"/>
                <w:highlight w:val="none"/>
                <w:lang w:val="en-US" w:eastAsia="zh-TW"/>
              </w:rPr>
              <w:t xml:space="preserve">Observation 1 (Nokia): </w:t>
            </w:r>
            <w:r>
              <w:rPr>
                <w:rFonts w:eastAsia="PMingLiU"/>
                <w:sz w:val="20"/>
                <w:szCs w:val="20"/>
                <w:highlight w:val="none"/>
                <w:lang w:val="en-US" w:eastAsia="zh-TW"/>
              </w:rPr>
              <w:t>OTA sensitivity and Rx dynamic range requirements can be omitted for Ku bands with FR1 numerologies.</w:t>
            </w:r>
          </w:p>
          <w:p>
            <w:pPr>
              <w:keepNext w:val="0"/>
              <w:keepLines w:val="0"/>
              <w:pageBreakBefore w:val="0"/>
              <w:widowControl w:val="0"/>
              <w:kinsoku/>
              <w:wordWrap/>
              <w:overflowPunct w:val="0"/>
              <w:topLinePunct w:val="0"/>
              <w:autoSpaceDE w:val="0"/>
              <w:autoSpaceDN w:val="0"/>
              <w:bidi w:val="0"/>
              <w:adjustRightInd w:val="0"/>
              <w:snapToGrid/>
              <w:spacing w:after="120" w:line="259" w:lineRule="auto"/>
              <w:textAlignment w:val="baseline"/>
              <w:rPr>
                <w:rFonts w:eastAsia="PMingLiU"/>
                <w:sz w:val="20"/>
                <w:szCs w:val="20"/>
                <w:highlight w:val="none"/>
                <w:lang w:val="en-US" w:eastAsia="zh-TW"/>
              </w:rPr>
            </w:pPr>
            <w:r>
              <w:rPr>
                <w:rFonts w:hint="eastAsia" w:eastAsia="PMingLiU"/>
                <w:sz w:val="20"/>
                <w:szCs w:val="20"/>
                <w:highlight w:val="none"/>
                <w:lang w:val="en-US" w:eastAsia="zh-TW"/>
              </w:rPr>
              <w:t>Agreement:</w:t>
            </w:r>
          </w:p>
          <w:p>
            <w:pPr>
              <w:pStyle w:val="34"/>
              <w:keepNext w:val="0"/>
              <w:keepLines w:val="0"/>
              <w:pageBreakBefore w:val="0"/>
              <w:widowControl w:val="0"/>
              <w:numPr>
                <w:ilvl w:val="0"/>
                <w:numId w:val="10"/>
              </w:numPr>
              <w:kinsoku/>
              <w:wordWrap/>
              <w:overflowPunct w:val="0"/>
              <w:topLinePunct w:val="0"/>
              <w:autoSpaceDE w:val="0"/>
              <w:autoSpaceDN w:val="0"/>
              <w:bidi w:val="0"/>
              <w:adjustRightInd w:val="0"/>
              <w:snapToGrid/>
              <w:spacing w:after="120" w:line="259" w:lineRule="auto"/>
              <w:ind w:firstLineChars="0"/>
              <w:textAlignment w:val="baseline"/>
              <w:rPr>
                <w:rFonts w:eastAsia="PMingLiU"/>
                <w:sz w:val="20"/>
                <w:szCs w:val="20"/>
                <w:highlight w:val="none"/>
                <w:lang w:val="en-US" w:eastAsia="zh-TW"/>
              </w:rPr>
            </w:pPr>
            <w:r>
              <w:rPr>
                <w:rFonts w:eastAsia="PMingLiU"/>
                <w:sz w:val="20"/>
                <w:szCs w:val="20"/>
                <w:highlight w:val="none"/>
                <w:lang w:val="en-US" w:eastAsia="zh-TW"/>
              </w:rPr>
              <w:t xml:space="preserve">Proposal </w:t>
            </w:r>
            <w:r>
              <w:rPr>
                <w:rFonts w:hint="eastAsia" w:eastAsia="PMingLiU"/>
                <w:sz w:val="20"/>
                <w:szCs w:val="20"/>
                <w:highlight w:val="none"/>
                <w:lang w:val="en-US" w:eastAsia="zh-TW"/>
              </w:rPr>
              <w:t>1 (ZTE)</w:t>
            </w:r>
            <w:r>
              <w:rPr>
                <w:rFonts w:eastAsia="PMingLiU"/>
                <w:sz w:val="20"/>
                <w:szCs w:val="20"/>
                <w:highlight w:val="none"/>
                <w:lang w:val="en-US" w:eastAsia="zh-TW"/>
              </w:rPr>
              <w:t xml:space="preserve">: It is proposed not to specify OTA </w:t>
            </w:r>
            <w:r>
              <w:rPr>
                <w:rFonts w:hint="eastAsia" w:eastAsia="PMingLiU"/>
                <w:sz w:val="20"/>
                <w:szCs w:val="20"/>
                <w:highlight w:val="none"/>
                <w:lang w:val="en-US" w:eastAsia="zh-TW"/>
              </w:rPr>
              <w:t xml:space="preserve">SAN </w:t>
            </w:r>
            <w:r>
              <w:rPr>
                <w:rFonts w:eastAsia="PMingLiU"/>
                <w:sz w:val="20"/>
                <w:szCs w:val="20"/>
                <w:highlight w:val="none"/>
                <w:lang w:val="en-US" w:eastAsia="zh-TW"/>
              </w:rPr>
              <w:t>sensitivity for NTN Ku bands.</w:t>
            </w:r>
          </w:p>
          <w:p>
            <w:pPr>
              <w:keepNext w:val="0"/>
              <w:keepLines w:val="0"/>
              <w:pageBreakBefore w:val="0"/>
              <w:widowControl w:val="0"/>
              <w:kinsoku/>
              <w:wordWrap/>
              <w:overflowPunct w:val="0"/>
              <w:topLinePunct w:val="0"/>
              <w:autoSpaceDE w:val="0"/>
              <w:autoSpaceDN w:val="0"/>
              <w:bidi w:val="0"/>
              <w:adjustRightInd w:val="0"/>
              <w:snapToGrid/>
              <w:spacing w:after="120" w:line="259" w:lineRule="auto"/>
              <w:textAlignment w:val="baseline"/>
              <w:rPr>
                <w:rFonts w:eastAsia="PMingLiU"/>
                <w:sz w:val="20"/>
                <w:szCs w:val="20"/>
                <w:highlight w:val="none"/>
                <w:lang w:val="en-US" w:eastAsia="zh-TW"/>
              </w:rPr>
            </w:pPr>
          </w:p>
          <w:p>
            <w:pPr>
              <w:pStyle w:val="5"/>
              <w:keepNext w:val="0"/>
              <w:keepLines w:val="0"/>
              <w:pageBreakBefore w:val="0"/>
              <w:widowControl w:val="0"/>
              <w:numPr>
                <w:ilvl w:val="0"/>
                <w:numId w:val="0"/>
              </w:numPr>
              <w:kinsoku/>
              <w:wordWrap/>
              <w:overflowPunct w:val="0"/>
              <w:topLinePunct w:val="0"/>
              <w:autoSpaceDE w:val="0"/>
              <w:autoSpaceDN w:val="0"/>
              <w:bidi w:val="0"/>
              <w:adjustRightInd w:val="0"/>
              <w:snapToGrid/>
              <w:textAlignment w:val="baseline"/>
              <w:rPr>
                <w:rFonts w:eastAsia="PMingLiU"/>
                <w:sz w:val="20"/>
                <w:szCs w:val="20"/>
                <w:highlight w:val="none"/>
                <w:lang w:val="en-US" w:eastAsia="zh-TW"/>
              </w:rPr>
            </w:pPr>
            <w:r>
              <w:rPr>
                <w:sz w:val="20"/>
                <w:szCs w:val="20"/>
                <w:highlight w:val="none"/>
                <w:lang w:val="en-US"/>
              </w:rPr>
              <w:t>Issue 2-</w:t>
            </w:r>
            <w:r>
              <w:rPr>
                <w:rFonts w:hint="eastAsia" w:eastAsia="PMingLiU"/>
                <w:sz w:val="20"/>
                <w:szCs w:val="20"/>
                <w:highlight w:val="none"/>
                <w:lang w:val="en-US" w:eastAsia="zh-TW"/>
              </w:rPr>
              <w:t>2</w:t>
            </w:r>
            <w:r>
              <w:rPr>
                <w:sz w:val="20"/>
                <w:szCs w:val="20"/>
                <w:highlight w:val="none"/>
                <w:lang w:val="en-US"/>
              </w:rPr>
              <w:t>-</w:t>
            </w:r>
            <w:r>
              <w:rPr>
                <w:rFonts w:hint="eastAsia" w:eastAsia="PMingLiU"/>
                <w:sz w:val="20"/>
                <w:szCs w:val="20"/>
                <w:highlight w:val="none"/>
                <w:lang w:val="en-US" w:eastAsia="zh-TW"/>
              </w:rPr>
              <w:t>7</w:t>
            </w:r>
            <w:r>
              <w:rPr>
                <w:sz w:val="20"/>
                <w:szCs w:val="20"/>
                <w:highlight w:val="none"/>
                <w:lang w:val="en-US"/>
              </w:rPr>
              <w:t xml:space="preserve">: </w:t>
            </w:r>
            <w:r>
              <w:rPr>
                <w:rFonts w:eastAsia="PMingLiU"/>
                <w:sz w:val="20"/>
                <w:szCs w:val="20"/>
                <w:highlight w:val="none"/>
                <w:lang w:val="en-US" w:eastAsia="zh-TW"/>
              </w:rPr>
              <w:t xml:space="preserve"> </w:t>
            </w:r>
            <w:r>
              <w:rPr>
                <w:rFonts w:hint="eastAsia" w:eastAsia="PMingLiU"/>
                <w:sz w:val="20"/>
                <w:szCs w:val="20"/>
                <w:highlight w:val="none"/>
                <w:lang w:val="en-US" w:eastAsia="zh-TW"/>
              </w:rPr>
              <w:t>OTA dynamic range for the Ku band SAN</w:t>
            </w:r>
          </w:p>
          <w:p>
            <w:pPr>
              <w:pStyle w:val="34"/>
              <w:keepNext w:val="0"/>
              <w:keepLines w:val="0"/>
              <w:pageBreakBefore w:val="0"/>
              <w:widowControl w:val="0"/>
              <w:numPr>
                <w:ilvl w:val="0"/>
                <w:numId w:val="10"/>
              </w:numPr>
              <w:kinsoku/>
              <w:wordWrap/>
              <w:overflowPunct/>
              <w:topLinePunct w:val="0"/>
              <w:autoSpaceDE/>
              <w:autoSpaceDN/>
              <w:bidi w:val="0"/>
              <w:adjustRightInd/>
              <w:snapToGrid/>
              <w:spacing w:after="120" w:line="259" w:lineRule="auto"/>
              <w:ind w:left="720" w:firstLineChars="0"/>
              <w:textAlignment w:val="auto"/>
              <w:rPr>
                <w:sz w:val="20"/>
                <w:szCs w:val="20"/>
                <w:highlight w:val="none"/>
                <w:lang w:val="en-US"/>
              </w:rPr>
            </w:pPr>
            <w:r>
              <w:rPr>
                <w:sz w:val="20"/>
                <w:szCs w:val="20"/>
                <w:highlight w:val="none"/>
                <w:lang w:val="en-US"/>
              </w:rPr>
              <w:t>Proposals:</w:t>
            </w:r>
            <w:r>
              <w:rPr>
                <w:rFonts w:hint="eastAsia" w:eastAsia="PMingLiU"/>
                <w:sz w:val="20"/>
                <w:szCs w:val="20"/>
                <w:highlight w:val="none"/>
                <w:lang w:val="en-US" w:eastAsia="zh-TW"/>
              </w:rPr>
              <w:t xml:space="preserve"> </w:t>
            </w:r>
          </w:p>
          <w:p>
            <w:pPr>
              <w:pStyle w:val="34"/>
              <w:keepNext w:val="0"/>
              <w:keepLines w:val="0"/>
              <w:pageBreakBefore w:val="0"/>
              <w:widowControl w:val="0"/>
              <w:numPr>
                <w:ilvl w:val="1"/>
                <w:numId w:val="10"/>
              </w:numPr>
              <w:kinsoku/>
              <w:wordWrap/>
              <w:overflowPunct w:val="0"/>
              <w:topLinePunct w:val="0"/>
              <w:autoSpaceDE w:val="0"/>
              <w:autoSpaceDN w:val="0"/>
              <w:bidi w:val="0"/>
              <w:adjustRightInd w:val="0"/>
              <w:snapToGrid/>
              <w:spacing w:after="120" w:line="259" w:lineRule="auto"/>
              <w:ind w:firstLineChars="0"/>
              <w:textAlignment w:val="baseline"/>
              <w:rPr>
                <w:rFonts w:eastAsia="PMingLiU"/>
                <w:sz w:val="20"/>
                <w:szCs w:val="20"/>
                <w:highlight w:val="none"/>
                <w:lang w:val="en-US" w:eastAsia="zh-TW"/>
              </w:rPr>
            </w:pPr>
            <w:r>
              <w:rPr>
                <w:rFonts w:eastAsia="PMingLiU"/>
                <w:sz w:val="20"/>
                <w:szCs w:val="20"/>
                <w:highlight w:val="none"/>
                <w:lang w:val="en-US" w:eastAsia="zh-TW"/>
              </w:rPr>
              <w:t xml:space="preserve">Proposal </w:t>
            </w:r>
            <w:r>
              <w:rPr>
                <w:rFonts w:hint="eastAsia" w:eastAsia="PMingLiU"/>
                <w:sz w:val="20"/>
                <w:szCs w:val="20"/>
                <w:highlight w:val="none"/>
                <w:lang w:val="en-US" w:eastAsia="zh-TW"/>
              </w:rPr>
              <w:t>1 (ZTE)</w:t>
            </w:r>
            <w:r>
              <w:rPr>
                <w:rFonts w:eastAsia="PMingLiU"/>
                <w:sz w:val="20"/>
                <w:szCs w:val="20"/>
                <w:highlight w:val="none"/>
                <w:lang w:val="en-US" w:eastAsia="zh-TW"/>
              </w:rPr>
              <w:t>:</w:t>
            </w:r>
            <w:r>
              <w:rPr>
                <w:rFonts w:hint="eastAsia" w:eastAsia="PMingLiU"/>
                <w:sz w:val="20"/>
                <w:szCs w:val="20"/>
                <w:highlight w:val="none"/>
                <w:lang w:val="en-US" w:eastAsia="zh-TW"/>
              </w:rPr>
              <w:t xml:space="preserve"> </w:t>
            </w:r>
            <w:r>
              <w:rPr>
                <w:rFonts w:eastAsia="PMingLiU"/>
                <w:sz w:val="20"/>
                <w:szCs w:val="20"/>
                <w:highlight w:val="none"/>
                <w:lang w:val="en-US" w:eastAsia="zh-TW"/>
              </w:rPr>
              <w:t>Not to specify OTA dynamic range for NTN Ku bands.</w:t>
            </w:r>
          </w:p>
          <w:p>
            <w:pPr>
              <w:keepNext w:val="0"/>
              <w:keepLines w:val="0"/>
              <w:pageBreakBefore w:val="0"/>
              <w:widowControl w:val="0"/>
              <w:kinsoku/>
              <w:wordWrap/>
              <w:overflowPunct w:val="0"/>
              <w:topLinePunct w:val="0"/>
              <w:autoSpaceDE w:val="0"/>
              <w:autoSpaceDN w:val="0"/>
              <w:bidi w:val="0"/>
              <w:adjustRightInd w:val="0"/>
              <w:snapToGrid/>
              <w:spacing w:after="180"/>
              <w:textAlignment w:val="baseline"/>
              <w:rPr>
                <w:rFonts w:eastAsia="PMingLiU"/>
                <w:sz w:val="20"/>
                <w:szCs w:val="20"/>
                <w:highlight w:val="none"/>
                <w:lang w:val="en-US" w:eastAsia="zh-TW"/>
              </w:rPr>
            </w:pPr>
            <w:r>
              <w:rPr>
                <w:rFonts w:hint="eastAsia" w:eastAsia="PMingLiU"/>
                <w:sz w:val="20"/>
                <w:szCs w:val="20"/>
                <w:highlight w:val="none"/>
                <w:lang w:val="en-US" w:eastAsia="zh-TW"/>
              </w:rPr>
              <w:t>Agreement:</w:t>
            </w:r>
          </w:p>
          <w:p>
            <w:pPr>
              <w:pStyle w:val="34"/>
              <w:keepNext w:val="0"/>
              <w:keepLines w:val="0"/>
              <w:pageBreakBefore w:val="0"/>
              <w:widowControl w:val="0"/>
              <w:numPr>
                <w:ilvl w:val="0"/>
                <w:numId w:val="10"/>
              </w:numPr>
              <w:kinsoku/>
              <w:wordWrap/>
              <w:overflowPunct w:val="0"/>
              <w:topLinePunct w:val="0"/>
              <w:autoSpaceDE w:val="0"/>
              <w:autoSpaceDN w:val="0"/>
              <w:bidi w:val="0"/>
              <w:adjustRightInd w:val="0"/>
              <w:snapToGrid/>
              <w:spacing w:after="120" w:line="259" w:lineRule="auto"/>
              <w:ind w:firstLineChars="0"/>
              <w:textAlignment w:val="baseline"/>
              <w:rPr>
                <w:rFonts w:eastAsia="PMingLiU"/>
                <w:sz w:val="20"/>
                <w:szCs w:val="20"/>
                <w:highlight w:val="none"/>
                <w:lang w:val="en-US" w:eastAsia="zh-TW"/>
              </w:rPr>
            </w:pPr>
            <w:r>
              <w:rPr>
                <w:rFonts w:eastAsia="PMingLiU"/>
                <w:sz w:val="20"/>
                <w:szCs w:val="20"/>
                <w:highlight w:val="none"/>
                <w:lang w:val="en-US" w:eastAsia="zh-TW"/>
              </w:rPr>
              <w:t xml:space="preserve">Proposal </w:t>
            </w:r>
            <w:r>
              <w:rPr>
                <w:rFonts w:hint="eastAsia" w:eastAsia="PMingLiU"/>
                <w:sz w:val="20"/>
                <w:szCs w:val="20"/>
                <w:highlight w:val="none"/>
                <w:lang w:val="en-US" w:eastAsia="zh-TW"/>
              </w:rPr>
              <w:t>1 (ZTE)</w:t>
            </w:r>
            <w:r>
              <w:rPr>
                <w:rFonts w:eastAsia="PMingLiU"/>
                <w:sz w:val="20"/>
                <w:szCs w:val="20"/>
                <w:highlight w:val="none"/>
                <w:lang w:val="en-US" w:eastAsia="zh-TW"/>
              </w:rPr>
              <w:t>:</w:t>
            </w:r>
            <w:r>
              <w:rPr>
                <w:rFonts w:hint="eastAsia" w:eastAsia="PMingLiU"/>
                <w:sz w:val="20"/>
                <w:szCs w:val="20"/>
                <w:highlight w:val="none"/>
                <w:lang w:val="en-US" w:eastAsia="zh-TW"/>
              </w:rPr>
              <w:t xml:space="preserve"> </w:t>
            </w:r>
            <w:r>
              <w:rPr>
                <w:rFonts w:eastAsia="PMingLiU"/>
                <w:sz w:val="20"/>
                <w:szCs w:val="20"/>
                <w:highlight w:val="none"/>
                <w:lang w:val="en-US" w:eastAsia="zh-TW"/>
              </w:rPr>
              <w:t xml:space="preserve">Not to specify OTA </w:t>
            </w:r>
            <w:r>
              <w:rPr>
                <w:rFonts w:hint="eastAsia" w:eastAsia="PMingLiU"/>
                <w:sz w:val="20"/>
                <w:szCs w:val="20"/>
                <w:highlight w:val="none"/>
                <w:lang w:val="en-US" w:eastAsia="zh-TW"/>
              </w:rPr>
              <w:t xml:space="preserve">SAN </w:t>
            </w:r>
            <w:r>
              <w:rPr>
                <w:rFonts w:eastAsia="PMingLiU"/>
                <w:sz w:val="20"/>
                <w:szCs w:val="20"/>
                <w:highlight w:val="none"/>
                <w:lang w:val="en-US" w:eastAsia="zh-TW"/>
              </w:rPr>
              <w:t>dynamic range for NTN Ku bands.</w:t>
            </w:r>
          </w:p>
          <w:p>
            <w:pPr>
              <w:keepNext w:val="0"/>
              <w:keepLines w:val="0"/>
              <w:pageBreakBefore w:val="0"/>
              <w:widowControl w:val="0"/>
              <w:kinsoku/>
              <w:wordWrap/>
              <w:overflowPunct w:val="0"/>
              <w:topLinePunct w:val="0"/>
              <w:autoSpaceDE w:val="0"/>
              <w:autoSpaceDN w:val="0"/>
              <w:bidi w:val="0"/>
              <w:adjustRightInd w:val="0"/>
              <w:snapToGrid/>
              <w:spacing w:after="180"/>
              <w:textAlignment w:val="baseline"/>
              <w:rPr>
                <w:rFonts w:hint="eastAsia" w:eastAsia="宋体"/>
                <w:kern w:val="2"/>
                <w:sz w:val="20"/>
                <w:szCs w:val="20"/>
                <w:highlight w:val="none"/>
                <w:vertAlign w:val="baseline"/>
                <w:lang w:val="en-US" w:eastAsia="zh-CN"/>
              </w:rPr>
            </w:pPr>
          </w:p>
        </w:tc>
      </w:tr>
    </w:tbl>
    <w:p>
      <w:pPr>
        <w:bidi w:val="0"/>
        <w:rPr>
          <w:rFonts w:hint="default"/>
          <w:sz w:val="20"/>
          <w:szCs w:val="18"/>
          <w:lang w:val="en-US" w:eastAsia="zh-CN"/>
        </w:rPr>
      </w:pPr>
      <w:r>
        <w:rPr>
          <w:rFonts w:hint="eastAsia"/>
          <w:sz w:val="20"/>
          <w:szCs w:val="18"/>
          <w:lang w:val="en-US" w:eastAsia="zh-CN"/>
        </w:rPr>
        <w:t>The above is the agreement and way forward we reached in last meeting [2]. There are some remaining issues need to be further discussed.</w:t>
      </w:r>
    </w:p>
    <w:p>
      <w:pPr>
        <w:pStyle w:val="4"/>
        <w:numPr>
          <w:ilvl w:val="2"/>
          <w:numId w:val="0"/>
        </w:numPr>
        <w:ind w:leftChars="0" w:right="0" w:rightChars="0"/>
      </w:pPr>
      <w:r>
        <w:rPr>
          <w:rFonts w:hint="eastAsia"/>
          <w:lang w:val="en-US" w:eastAsia="zh-CN"/>
        </w:rPr>
        <w:t xml:space="preserve">2.1.1 </w:t>
      </w:r>
      <w:r>
        <w:t>OTA transmitter spurious emissions</w:t>
      </w:r>
    </w:p>
    <w:p>
      <w:pPr>
        <w:rPr>
          <w:rFonts w:hint="default" w:eastAsia="PMingLiU"/>
          <w:kern w:val="2"/>
          <w:sz w:val="20"/>
          <w:szCs w:val="20"/>
          <w:lang w:val="en-US" w:eastAsia="zh-CN"/>
        </w:rPr>
      </w:pPr>
      <w:r>
        <w:rPr>
          <w:rFonts w:hint="eastAsia" w:eastAsia="PMingLiU"/>
          <w:kern w:val="2"/>
          <w:sz w:val="20"/>
          <w:szCs w:val="20"/>
          <w:lang w:val="en-US" w:eastAsia="zh-CN"/>
        </w:rPr>
        <w:t>For spurious frequency range, the upper limit is different between SAN type 1-O and 2-O in current spec. The upper limit of spurious frequency range for measurements is defined following the principle in ITU-R SM.329 as follows. For NTN Ku bands, we also propose to adhere the rule in ITU-R SM.329 to define the upper limit of spurious frequency range as 26 GHz due to Ku bands DL is 10.7-12.75 GHz.</w:t>
      </w:r>
    </w:p>
    <w:p>
      <w:pPr>
        <w:jc w:val="center"/>
        <w:rPr>
          <w:sz w:val="20"/>
          <w:szCs w:val="20"/>
        </w:rPr>
      </w:pPr>
      <w:r>
        <w:rPr>
          <w:sz w:val="20"/>
          <w:szCs w:val="20"/>
        </w:rPr>
        <w:drawing>
          <wp:inline distT="0" distB="0" distL="114300" distR="114300">
            <wp:extent cx="5277485" cy="2593340"/>
            <wp:effectExtent l="0" t="0" r="10795"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5277485" cy="2593340"/>
                    </a:xfrm>
                    <a:prstGeom prst="rect">
                      <a:avLst/>
                    </a:prstGeom>
                    <a:noFill/>
                    <a:ln>
                      <a:noFill/>
                    </a:ln>
                  </pic:spPr>
                </pic:pic>
              </a:graphicData>
            </a:graphic>
          </wp:inline>
        </w:drawing>
      </w:r>
    </w:p>
    <w:p>
      <w:pPr>
        <w:jc w:val="both"/>
        <w:rPr>
          <w:rFonts w:hint="default"/>
          <w:b/>
          <w:bCs/>
          <w:i w:val="0"/>
          <w:iCs w:val="0"/>
          <w:sz w:val="20"/>
          <w:szCs w:val="20"/>
          <w:lang w:val="en-US" w:eastAsia="zh-CN"/>
        </w:rPr>
      </w:pPr>
      <w:r>
        <w:rPr>
          <w:rFonts w:hint="eastAsia"/>
          <w:b/>
          <w:bCs/>
          <w:i w:val="0"/>
          <w:iCs w:val="0"/>
          <w:sz w:val="20"/>
          <w:szCs w:val="20"/>
          <w:lang w:val="en-US" w:eastAsia="zh-CN"/>
        </w:rPr>
        <w:t>Proposal 1: It is proposed to define the upper limit of spurious frequency range as 26 GHz for both FR1-NTN Ku bands and FR2-NTN Ku bands.</w:t>
      </w:r>
    </w:p>
    <w:p>
      <w:pPr>
        <w:jc w:val="both"/>
        <w:rPr>
          <w:rFonts w:hint="default"/>
          <w:b/>
          <w:bCs/>
          <w:i w:val="0"/>
          <w:iCs w:val="0"/>
          <w:sz w:val="20"/>
          <w:szCs w:val="20"/>
          <w:lang w:val="en-US" w:eastAsia="zh-CN"/>
        </w:rPr>
      </w:pP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default"/>
          <w:b/>
          <w:bCs/>
          <w:i w:val="0"/>
          <w:iCs w:val="0"/>
          <w:sz w:val="20"/>
          <w:szCs w:val="20"/>
          <w:lang w:val="en-US" w:eastAsia="zh-CN"/>
        </w:rPr>
      </w:pPr>
      <w:r>
        <w:rPr>
          <w:rFonts w:hint="eastAsia"/>
          <w:lang w:val="en-US" w:eastAsia="zh-CN"/>
        </w:rPr>
        <w:t>2.2 SAN radiated Rx requirements</w:t>
      </w:r>
    </w:p>
    <w:p>
      <w:pPr>
        <w:pStyle w:val="4"/>
        <w:numPr>
          <w:ilvl w:val="2"/>
          <w:numId w:val="0"/>
        </w:numPr>
        <w:bidi w:val="0"/>
        <w:ind w:leftChars="0" w:right="0" w:rightChars="0"/>
        <w:rPr>
          <w:rFonts w:hint="eastAsia"/>
          <w:lang w:val="en-US" w:eastAsia="zh-CN"/>
        </w:rPr>
      </w:pPr>
      <w:r>
        <w:rPr>
          <w:rFonts w:hint="eastAsia"/>
          <w:lang w:val="en-US" w:eastAsia="zh-CN"/>
        </w:rPr>
        <w:t>2.2.1 OTA reference sensitivity level</w:t>
      </w:r>
    </w:p>
    <w:p>
      <w:pPr>
        <w:rPr>
          <w:rFonts w:hint="eastAsia"/>
          <w:sz w:val="20"/>
          <w:szCs w:val="20"/>
          <w:lang w:val="en-US" w:eastAsia="zh-CN"/>
        </w:rPr>
      </w:pPr>
      <w:r>
        <w:rPr>
          <w:rFonts w:hint="eastAsia"/>
          <w:sz w:val="20"/>
          <w:szCs w:val="20"/>
          <w:lang w:val="en-US" w:eastAsia="zh-CN"/>
        </w:rPr>
        <w:t xml:space="preserve">For OTA REFSENS, it is channel BW and SCS specific. The requirement for SAN type 1-O is 2.4 dB lower than </w:t>
      </w:r>
      <w:r>
        <w:rPr>
          <w:sz w:val="20"/>
          <w:szCs w:val="20"/>
          <w:lang w:eastAsia="zh-CN"/>
        </w:rPr>
        <w:t>EIS</w:t>
      </w:r>
      <w:r>
        <w:rPr>
          <w:sz w:val="20"/>
          <w:szCs w:val="20"/>
          <w:vertAlign w:val="subscript"/>
          <w:lang w:eastAsia="zh-CN"/>
        </w:rPr>
        <w:t>REFSENS</w:t>
      </w:r>
      <w:r>
        <w:rPr>
          <w:rFonts w:hint="eastAsia"/>
          <w:sz w:val="20"/>
          <w:szCs w:val="20"/>
          <w:vertAlign w:val="subscript"/>
          <w:lang w:val="en-US" w:eastAsia="zh-CN"/>
        </w:rPr>
        <w:t xml:space="preserve"> </w:t>
      </w:r>
      <w:r>
        <w:rPr>
          <w:rFonts w:hint="eastAsia"/>
          <w:sz w:val="20"/>
          <w:szCs w:val="20"/>
          <w:vertAlign w:val="baseline"/>
          <w:lang w:val="en-US" w:eastAsia="zh-CN"/>
        </w:rPr>
        <w:t xml:space="preserve">in 38.104 with same reference measurement channel. For </w:t>
      </w:r>
      <w:r>
        <w:rPr>
          <w:rFonts w:hint="eastAsia"/>
          <w:sz w:val="20"/>
          <w:szCs w:val="20"/>
          <w:lang w:val="en-US" w:eastAsia="zh-CN"/>
        </w:rPr>
        <w:t xml:space="preserve">SAN type 2-O (also for Ka bands), it is a range and declared by the vendor, which is defined by the following equation with the assumption of the smallest supported bandwidth 50 MHz </w:t>
      </w:r>
      <w:r>
        <w:rPr>
          <w:rFonts w:hint="eastAsia"/>
          <w:sz w:val="20"/>
          <w:szCs w:val="20"/>
          <w:lang w:eastAsia="zh-CN"/>
        </w:rPr>
        <w:t>[</w:t>
      </w:r>
      <w:r>
        <w:rPr>
          <w:rFonts w:hint="eastAsia"/>
          <w:sz w:val="20"/>
          <w:szCs w:val="20"/>
          <w:lang w:val="en-US" w:eastAsia="zh-CN"/>
        </w:rPr>
        <w:t>3</w:t>
      </w:r>
      <w:r>
        <w:rPr>
          <w:rFonts w:hint="eastAsia"/>
          <w:sz w:val="20"/>
          <w:szCs w:val="20"/>
          <w:lang w:eastAsia="zh-CN"/>
        </w:rPr>
        <w:t xml:space="preserve">, </w:t>
      </w:r>
      <w:r>
        <w:rPr>
          <w:rFonts w:hint="eastAsia"/>
          <w:sz w:val="20"/>
          <w:szCs w:val="20"/>
          <w:lang w:val="en-US" w:eastAsia="zh-CN"/>
        </w:rPr>
        <w:t>4</w:t>
      </w:r>
      <w:r>
        <w:rPr>
          <w:rFonts w:hint="eastAsia"/>
          <w:sz w:val="20"/>
          <w:szCs w:val="20"/>
          <w:lang w:eastAsia="zh-CN"/>
        </w:rPr>
        <w:t>]</w:t>
      </w:r>
      <w:r>
        <w:rPr>
          <w:rFonts w:hint="eastAsia"/>
          <w:sz w:val="20"/>
          <w:szCs w:val="20"/>
          <w:lang w:val="en-US" w:eastAsia="zh-CN"/>
        </w:rPr>
        <w:t xml:space="preserve">. </w:t>
      </w:r>
    </w:p>
    <w:p>
      <w:pPr>
        <w:jc w:val="center"/>
        <w:rPr>
          <w:rFonts w:hint="eastAsia"/>
          <w:sz w:val="20"/>
          <w:szCs w:val="20"/>
          <w:lang w:val="en-US" w:eastAsia="zh-CN"/>
        </w:rPr>
      </w:pPr>
      <w:r>
        <w:rPr>
          <w:position w:val="-12"/>
          <w:sz w:val="20"/>
          <w:szCs w:val="20"/>
        </w:rPr>
        <w:object>
          <v:shape id="_x0000_i1025" o:spt="75" type="#_x0000_t75" style="height:18.8pt;width:311.65pt;" o:ole="t" filled="f" o:preferrelative="t" stroked="f" coordsize="21600,21600">
            <v:path/>
            <v:fill on="f" focussize="0,0"/>
            <v:stroke on="f" joinstyle="miter"/>
            <v:imagedata r:id="rId14" o:title=""/>
            <o:lock v:ext="edit" aspectratio="t"/>
            <w10:wrap type="none"/>
            <w10:anchorlock/>
          </v:shape>
          <o:OLEObject Type="Embed" ProgID="Equation.3" ShapeID="_x0000_i1025" DrawAspect="Content" ObjectID="_1468075725" r:id="rId13">
            <o:LockedField>false</o:LockedField>
          </o:OLEObject>
        </w:object>
      </w:r>
    </w:p>
    <w:p>
      <w:pPr>
        <w:rPr>
          <w:rFonts w:hint="eastAsia"/>
          <w:sz w:val="20"/>
          <w:szCs w:val="20"/>
          <w:vertAlign w:val="baseline"/>
          <w:lang w:val="en-US" w:eastAsia="zh-CN"/>
        </w:rPr>
      </w:pPr>
      <w:r>
        <w:rPr>
          <w:rFonts w:hint="eastAsia"/>
          <w:sz w:val="20"/>
          <w:szCs w:val="20"/>
          <w:vertAlign w:val="baseline"/>
          <w:lang w:val="en-US" w:eastAsia="zh-CN"/>
        </w:rPr>
        <w:t>We propose to use the same approach as Ka bands to define OTA REFSENS with the following assumptions:</w:t>
      </w:r>
    </w:p>
    <w:p>
      <w:pPr>
        <w:jc w:val="both"/>
        <w:rPr>
          <w:sz w:val="20"/>
          <w:szCs w:val="20"/>
          <w:lang w:val="en-US" w:eastAsia="zh-CN"/>
        </w:rPr>
      </w:pPr>
      <w:r>
        <w:rPr>
          <w:sz w:val="20"/>
          <w:szCs w:val="20"/>
          <w:lang w:val="en-US" w:eastAsia="zh-CN"/>
        </w:rPr>
        <w:t>P</w:t>
      </w:r>
      <w:r>
        <w:rPr>
          <w:sz w:val="20"/>
          <w:szCs w:val="20"/>
          <w:vertAlign w:val="subscript"/>
          <w:lang w:val="en-US" w:eastAsia="zh-CN"/>
        </w:rPr>
        <w:t>kT</w:t>
      </w:r>
      <w:r>
        <w:rPr>
          <w:sz w:val="20"/>
          <w:szCs w:val="20"/>
          <w:lang w:val="en-US" w:eastAsia="zh-CN"/>
        </w:rPr>
        <w:t xml:space="preserve"> = -174 dBm/Hz</w:t>
      </w:r>
      <w:r>
        <w:rPr>
          <w:rFonts w:hint="eastAsia"/>
          <w:sz w:val="20"/>
          <w:szCs w:val="20"/>
          <w:lang w:val="en-US" w:eastAsia="zh-CN"/>
        </w:rPr>
        <w:t>.</w:t>
      </w:r>
    </w:p>
    <w:p>
      <w:pPr>
        <w:jc w:val="both"/>
        <w:rPr>
          <w:sz w:val="20"/>
          <w:szCs w:val="20"/>
          <w:lang w:eastAsia="zh-CN"/>
        </w:rPr>
      </w:pPr>
      <w:r>
        <w:rPr>
          <w:sz w:val="20"/>
          <w:szCs w:val="20"/>
          <w:lang w:val="en-US" w:eastAsia="zh-CN"/>
        </w:rPr>
        <w:t>IM = 2 dB</w:t>
      </w:r>
      <w:r>
        <w:rPr>
          <w:rFonts w:hint="eastAsia"/>
          <w:sz w:val="20"/>
          <w:szCs w:val="20"/>
          <w:lang w:val="en-US" w:eastAsia="zh-CN"/>
        </w:rPr>
        <w:t>.</w:t>
      </w:r>
    </w:p>
    <w:p>
      <w:pPr>
        <w:rPr>
          <w:iCs/>
          <w:sz w:val="20"/>
          <w:szCs w:val="20"/>
        </w:rPr>
      </w:pPr>
      <w:r>
        <w:rPr>
          <w:rFonts w:hint="eastAsia" w:cs="Arial"/>
          <w:bCs/>
          <w:sz w:val="20"/>
          <w:szCs w:val="20"/>
        </w:rPr>
        <w:t xml:space="preserve">BW for </w:t>
      </w:r>
      <w:r>
        <w:rPr>
          <w:rFonts w:eastAsia="等线"/>
          <w:bCs/>
          <w:sz w:val="20"/>
          <w:szCs w:val="20"/>
        </w:rPr>
        <w:t>EIS</w:t>
      </w:r>
      <w:r>
        <w:rPr>
          <w:rFonts w:eastAsia="等线"/>
          <w:bCs/>
          <w:sz w:val="20"/>
          <w:szCs w:val="20"/>
          <w:vertAlign w:val="subscript"/>
        </w:rPr>
        <w:t>REFSENS</w:t>
      </w:r>
      <w:r>
        <w:rPr>
          <w:rFonts w:hint="eastAsia" w:eastAsia="等线"/>
          <w:bCs/>
          <w:sz w:val="20"/>
          <w:szCs w:val="20"/>
          <w:vertAlign w:val="subscript"/>
        </w:rPr>
        <w:t>_</w:t>
      </w:r>
      <w:r>
        <w:rPr>
          <w:rFonts w:hint="eastAsia" w:eastAsia="等线"/>
          <w:bCs/>
          <w:sz w:val="20"/>
          <w:szCs w:val="20"/>
          <w:vertAlign w:val="subscript"/>
          <w:lang w:val="en-US" w:eastAsia="zh-CN"/>
        </w:rPr>
        <w:t>5</w:t>
      </w:r>
      <w:r>
        <w:rPr>
          <w:rFonts w:hint="eastAsia" w:eastAsia="等线"/>
          <w:bCs/>
          <w:sz w:val="20"/>
          <w:szCs w:val="20"/>
          <w:vertAlign w:val="subscript"/>
        </w:rPr>
        <w:t>0M</w:t>
      </w:r>
      <w:r>
        <w:rPr>
          <w:rFonts w:hint="eastAsia" w:eastAsia="等线"/>
          <w:bCs/>
          <w:sz w:val="20"/>
          <w:szCs w:val="20"/>
        </w:rPr>
        <w:t xml:space="preserve"> for K</w:t>
      </w:r>
      <w:r>
        <w:rPr>
          <w:rFonts w:hint="eastAsia" w:eastAsia="等线"/>
          <w:bCs/>
          <w:sz w:val="20"/>
          <w:szCs w:val="20"/>
          <w:lang w:val="en-US" w:eastAsia="zh-CN"/>
        </w:rPr>
        <w:t>u</w:t>
      </w:r>
      <w:r>
        <w:rPr>
          <w:rFonts w:hint="eastAsia" w:eastAsia="等线"/>
          <w:bCs/>
          <w:sz w:val="20"/>
          <w:szCs w:val="20"/>
        </w:rPr>
        <w:t xml:space="preserve">-band SAN is </w:t>
      </w:r>
      <w:r>
        <w:rPr>
          <w:rFonts w:hint="eastAsia" w:eastAsia="等线"/>
          <w:bCs/>
          <w:sz w:val="20"/>
          <w:szCs w:val="20"/>
          <w:lang w:val="en-US" w:eastAsia="zh-CN"/>
        </w:rPr>
        <w:t xml:space="preserve">270 </w:t>
      </w:r>
      <w:r>
        <w:rPr>
          <w:rFonts w:eastAsia="等线"/>
          <w:bCs/>
          <w:sz w:val="20"/>
          <w:szCs w:val="20"/>
        </w:rPr>
        <w:t xml:space="preserve">RB, i.e. </w:t>
      </w:r>
      <w:r>
        <w:rPr>
          <w:rFonts w:hint="eastAsia" w:eastAsia="等线"/>
          <w:bCs/>
          <w:sz w:val="20"/>
          <w:szCs w:val="20"/>
          <w:lang w:val="en-US" w:eastAsia="zh-CN"/>
        </w:rPr>
        <w:t>270</w:t>
      </w:r>
      <w:r>
        <w:rPr>
          <w:rFonts w:hint="eastAsia" w:eastAsia="等线"/>
          <w:bCs/>
          <w:sz w:val="20"/>
          <w:szCs w:val="20"/>
        </w:rPr>
        <w:t>*12*</w:t>
      </w:r>
      <w:r>
        <w:rPr>
          <w:rFonts w:hint="eastAsia" w:eastAsia="等线"/>
          <w:bCs/>
          <w:sz w:val="20"/>
          <w:szCs w:val="20"/>
          <w:lang w:val="en-US" w:eastAsia="zh-CN"/>
        </w:rPr>
        <w:t>15</w:t>
      </w:r>
      <w:r>
        <w:rPr>
          <w:rFonts w:hint="eastAsia" w:eastAsia="等线"/>
          <w:bCs/>
          <w:sz w:val="20"/>
          <w:szCs w:val="20"/>
        </w:rPr>
        <w:t>*1000Hz</w:t>
      </w:r>
      <w:r>
        <w:rPr>
          <w:rFonts w:eastAsia="等线"/>
          <w:bCs/>
          <w:sz w:val="20"/>
          <w:szCs w:val="20"/>
        </w:rPr>
        <w:t>.</w:t>
      </w:r>
    </w:p>
    <w:p>
      <w:pPr>
        <w:rPr>
          <w:iCs/>
          <w:sz w:val="20"/>
          <w:szCs w:val="20"/>
          <w:lang w:eastAsia="zh-CN"/>
        </w:rPr>
      </w:pPr>
      <w:r>
        <w:rPr>
          <w:rFonts w:hint="eastAsia" w:cs="Arial"/>
          <w:bCs/>
          <w:sz w:val="20"/>
          <w:szCs w:val="20"/>
        </w:rPr>
        <w:t xml:space="preserve">-1dB SNR can be </w:t>
      </w:r>
      <w:r>
        <w:rPr>
          <w:rFonts w:cs="Arial"/>
          <w:bCs/>
          <w:sz w:val="20"/>
          <w:szCs w:val="20"/>
        </w:rPr>
        <w:t>reused</w:t>
      </w:r>
      <w:r>
        <w:rPr>
          <w:rFonts w:hint="eastAsia" w:cs="Arial"/>
          <w:bCs/>
          <w:sz w:val="20"/>
          <w:szCs w:val="20"/>
        </w:rPr>
        <w:t xml:space="preserve"> for </w:t>
      </w:r>
      <w:r>
        <w:rPr>
          <w:rFonts w:eastAsia="等线"/>
          <w:bCs/>
          <w:sz w:val="20"/>
          <w:szCs w:val="20"/>
        </w:rPr>
        <w:t>EIS</w:t>
      </w:r>
      <w:r>
        <w:rPr>
          <w:rFonts w:hint="eastAsia" w:cs="Arial"/>
          <w:bCs/>
          <w:sz w:val="20"/>
          <w:szCs w:val="20"/>
        </w:rPr>
        <w:t xml:space="preserve"> for K</w:t>
      </w:r>
      <w:r>
        <w:rPr>
          <w:rFonts w:hint="eastAsia" w:cs="Arial"/>
          <w:bCs/>
          <w:sz w:val="20"/>
          <w:szCs w:val="20"/>
          <w:lang w:val="en-US" w:eastAsia="zh-CN"/>
        </w:rPr>
        <w:t>u</w:t>
      </w:r>
      <w:r>
        <w:rPr>
          <w:rFonts w:hint="eastAsia" w:cs="Arial"/>
          <w:bCs/>
          <w:sz w:val="20"/>
          <w:szCs w:val="20"/>
        </w:rPr>
        <w:t>-band SAN</w:t>
      </w:r>
      <w:r>
        <w:rPr>
          <w:rFonts w:hint="eastAsia" w:cs="Arial"/>
          <w:bCs/>
          <w:sz w:val="20"/>
          <w:szCs w:val="20"/>
          <w:lang w:eastAsia="zh-CN"/>
        </w:rPr>
        <w:t>.</w:t>
      </w:r>
    </w:p>
    <w:p>
      <w:pPr>
        <w:rPr>
          <w:rFonts w:eastAsia="等线"/>
          <w:sz w:val="20"/>
          <w:szCs w:val="20"/>
          <w:lang w:eastAsia="zh-CN"/>
        </w:rPr>
      </w:pPr>
      <w:r>
        <w:rPr>
          <w:rFonts w:hint="eastAsia" w:eastAsia="等线"/>
          <w:sz w:val="20"/>
          <w:szCs w:val="20"/>
          <w:lang w:eastAsia="zh-CN"/>
        </w:rPr>
        <w:t xml:space="preserve">NF for </w:t>
      </w:r>
      <w:r>
        <w:rPr>
          <w:rFonts w:eastAsia="等线"/>
          <w:sz w:val="20"/>
          <w:szCs w:val="20"/>
          <w:lang w:eastAsia="zh-CN"/>
        </w:rPr>
        <w:t>GEO and LEO</w:t>
      </w:r>
      <w:r>
        <w:rPr>
          <w:rFonts w:hint="eastAsia" w:eastAsia="等线"/>
          <w:sz w:val="20"/>
          <w:szCs w:val="20"/>
          <w:lang w:eastAsia="zh-CN"/>
        </w:rPr>
        <w:t xml:space="preserve"> SAN</w:t>
      </w:r>
      <w:r>
        <w:rPr>
          <w:rFonts w:eastAsia="等线"/>
          <w:sz w:val="20"/>
          <w:szCs w:val="20"/>
          <w:lang w:eastAsia="zh-CN"/>
        </w:rPr>
        <w:t>: 3 dB</w:t>
      </w:r>
      <w:r>
        <w:rPr>
          <w:rFonts w:hint="eastAsia" w:eastAsia="等线"/>
          <w:sz w:val="20"/>
          <w:szCs w:val="20"/>
          <w:lang w:eastAsia="zh-CN"/>
        </w:rPr>
        <w:t>.</w:t>
      </w:r>
    </w:p>
    <w:p>
      <w:pPr>
        <w:jc w:val="both"/>
        <w:rPr>
          <w:rFonts w:hint="default"/>
          <w:iCs/>
          <w:sz w:val="20"/>
          <w:szCs w:val="20"/>
          <w:lang w:val="en-US" w:eastAsia="zh-CN"/>
        </w:rPr>
      </w:pPr>
      <w:r>
        <w:rPr>
          <w:rFonts w:hint="eastAsia"/>
          <w:iCs/>
          <w:sz w:val="20"/>
          <w:szCs w:val="20"/>
          <w:lang w:val="en-US" w:eastAsia="zh-CN"/>
        </w:rPr>
        <w:t xml:space="preserve">G represents SAN Rx antenna gain. Since OTA REFSENS is range calculated based on antenna gain range, we can assume SAN antenna gain for Ku band: </w:t>
      </w:r>
      <w:r>
        <w:rPr>
          <w:sz w:val="20"/>
          <w:szCs w:val="20"/>
          <w:lang w:val="en-US" w:eastAsia="zh-CN"/>
        </w:rPr>
        <w:t>G = [</w:t>
      </w:r>
      <w:r>
        <w:rPr>
          <w:rFonts w:hint="eastAsia"/>
          <w:sz w:val="20"/>
          <w:szCs w:val="20"/>
          <w:lang w:val="en-US" w:eastAsia="zh-CN"/>
        </w:rPr>
        <w:t>36</w:t>
      </w:r>
      <w:r>
        <w:rPr>
          <w:sz w:val="20"/>
          <w:szCs w:val="20"/>
        </w:rPr>
        <w:t>-</w:t>
      </w:r>
      <w:r>
        <w:rPr>
          <w:rFonts w:hint="eastAsia"/>
          <w:sz w:val="20"/>
          <w:szCs w:val="20"/>
          <w:lang w:val="en-US" w:eastAsia="zh-CN"/>
        </w:rPr>
        <w:t>44</w:t>
      </w:r>
      <w:r>
        <w:rPr>
          <w:sz w:val="20"/>
          <w:szCs w:val="20"/>
        </w:rPr>
        <w:t>] dBi, and [30.5-38.5] dBi for GEO and LEO-600</w:t>
      </w:r>
      <w:r>
        <w:rPr>
          <w:rFonts w:hint="eastAsia"/>
          <w:sz w:val="20"/>
          <w:szCs w:val="20"/>
          <w:lang w:val="en-US" w:eastAsia="zh-CN"/>
        </w:rPr>
        <w:t xml:space="preserve"> respectively</w:t>
      </w:r>
      <w:r>
        <w:rPr>
          <w:sz w:val="20"/>
          <w:szCs w:val="20"/>
        </w:rPr>
        <w:t>.</w:t>
      </w:r>
      <w:r>
        <w:rPr>
          <w:rStyle w:val="29"/>
          <w:sz w:val="20"/>
          <w:szCs w:val="20"/>
        </w:rPr>
        <w:t xml:space="preserve"> </w:t>
      </w:r>
    </w:p>
    <w:p>
      <w:pPr>
        <w:rPr>
          <w:rFonts w:hint="default"/>
          <w:sz w:val="20"/>
          <w:szCs w:val="20"/>
          <w:lang w:val="en-US" w:eastAsia="zh-CN"/>
        </w:rPr>
      </w:pPr>
      <w:r>
        <w:rPr>
          <w:rFonts w:hint="eastAsia"/>
          <w:iCs/>
          <w:sz w:val="20"/>
          <w:szCs w:val="20"/>
          <w:lang w:val="en-US" w:eastAsia="zh-CN"/>
        </w:rPr>
        <w:t>In addition,</w:t>
      </w:r>
      <w:r>
        <w:rPr>
          <w:rFonts w:hint="eastAsia" w:eastAsia="等线"/>
          <w:sz w:val="20"/>
          <w:szCs w:val="20"/>
          <w:lang w:eastAsia="zh-CN"/>
        </w:rPr>
        <w:t xml:space="preserve"> </w:t>
      </w:r>
      <w:r>
        <w:rPr>
          <w:sz w:val="20"/>
          <w:szCs w:val="20"/>
        </w:rPr>
        <w:t>3dB off peak margin</w:t>
      </w:r>
      <w:r>
        <w:rPr>
          <w:rFonts w:hint="eastAsia"/>
          <w:sz w:val="20"/>
          <w:szCs w:val="20"/>
          <w:lang w:eastAsia="zh-CN"/>
        </w:rPr>
        <w:t xml:space="preserve"> need to be considered. </w:t>
      </w:r>
      <w:r>
        <w:rPr>
          <w:rFonts w:hint="eastAsia"/>
          <w:sz w:val="20"/>
          <w:szCs w:val="20"/>
          <w:lang w:val="en-US" w:eastAsia="zh-CN"/>
        </w:rPr>
        <w:t>Hence,</w:t>
      </w:r>
      <w:r>
        <w:rPr>
          <w:rFonts w:hint="eastAsia"/>
          <w:sz w:val="20"/>
          <w:szCs w:val="20"/>
          <w:lang w:eastAsia="zh-CN"/>
        </w:rPr>
        <w:t xml:space="preserve"> </w:t>
      </w:r>
      <w:r>
        <w:rPr>
          <w:rFonts w:eastAsia="等线"/>
          <w:sz w:val="20"/>
          <w:szCs w:val="20"/>
        </w:rPr>
        <w:t>EIS</w:t>
      </w:r>
      <w:r>
        <w:rPr>
          <w:rFonts w:eastAsia="等线"/>
          <w:sz w:val="20"/>
          <w:szCs w:val="20"/>
          <w:vertAlign w:val="subscript"/>
        </w:rPr>
        <w:t>REFSENS</w:t>
      </w:r>
      <w:r>
        <w:rPr>
          <w:rFonts w:hint="eastAsia" w:eastAsia="等线"/>
          <w:sz w:val="20"/>
          <w:szCs w:val="20"/>
          <w:vertAlign w:val="subscript"/>
          <w:lang w:eastAsia="zh-CN"/>
        </w:rPr>
        <w:t>_</w:t>
      </w:r>
      <w:r>
        <w:rPr>
          <w:rFonts w:hint="eastAsia" w:eastAsia="等线"/>
          <w:sz w:val="20"/>
          <w:szCs w:val="20"/>
          <w:vertAlign w:val="subscript"/>
          <w:lang w:val="en-US" w:eastAsia="zh-CN"/>
        </w:rPr>
        <w:t>5</w:t>
      </w:r>
      <w:r>
        <w:rPr>
          <w:rFonts w:hint="eastAsia" w:eastAsia="等线"/>
          <w:sz w:val="20"/>
          <w:szCs w:val="20"/>
          <w:vertAlign w:val="subscript"/>
          <w:lang w:eastAsia="zh-CN"/>
        </w:rPr>
        <w:t>0M</w:t>
      </w:r>
      <w:r>
        <w:rPr>
          <w:rFonts w:hint="eastAsia" w:eastAsia="等线"/>
          <w:sz w:val="20"/>
          <w:szCs w:val="20"/>
          <w:lang w:eastAsia="zh-CN"/>
        </w:rPr>
        <w:t xml:space="preserve"> can be calculated by the following</w:t>
      </w:r>
      <w:r>
        <w:rPr>
          <w:rFonts w:hint="eastAsia" w:eastAsia="等线"/>
          <w:sz w:val="20"/>
          <w:szCs w:val="20"/>
          <w:lang w:val="en-US" w:eastAsia="zh-CN"/>
        </w:rPr>
        <w:t xml:space="preserve"> for GEO class SAN.</w:t>
      </w:r>
    </w:p>
    <w:p>
      <w:pPr>
        <w:jc w:val="center"/>
        <w:rPr>
          <w:rFonts w:hint="eastAsia"/>
          <w:sz w:val="20"/>
          <w:szCs w:val="20"/>
          <w:lang w:val="en-US" w:eastAsia="zh-CN"/>
        </w:rPr>
      </w:pPr>
      <w:r>
        <w:rPr>
          <w:position w:val="-14"/>
          <w:sz w:val="20"/>
          <w:szCs w:val="20"/>
        </w:rPr>
        <w:object>
          <v:shape id="_x0000_i1026" o:spt="75" type="#_x0000_t75" style="height:18.9pt;width:349.75pt;" o:ole="t" filled="f" o:preferrelative="t" stroked="f" coordsize="21600,21600">
            <v:path/>
            <v:fill on="f" focussize="0,0"/>
            <v:stroke on="f"/>
            <v:imagedata r:id="rId16" o:title=""/>
            <o:lock v:ext="edit" aspectratio="t"/>
            <w10:wrap type="none"/>
            <w10:anchorlock/>
          </v:shape>
          <o:OLEObject Type="Embed" ProgID="Equation.3" ShapeID="_x0000_i1026" DrawAspect="Content" ObjectID="_1468075726" r:id="rId15">
            <o:LockedField>false</o:LockedField>
          </o:OLEObject>
        </w:object>
      </w:r>
    </w:p>
    <w:p>
      <w:pPr>
        <w:jc w:val="center"/>
        <w:rPr>
          <w:rFonts w:hint="eastAsia"/>
          <w:sz w:val="20"/>
          <w:szCs w:val="20"/>
          <w:lang w:val="en-US" w:eastAsia="zh-CN"/>
        </w:rPr>
      </w:pPr>
      <w:r>
        <w:rPr>
          <w:position w:val="-14"/>
          <w:sz w:val="20"/>
          <w:szCs w:val="20"/>
        </w:rPr>
        <w:object>
          <v:shape id="_x0000_i1027" o:spt="75" type="#_x0000_t75" style="height:18.85pt;width:349.75pt;" o:ole="t" filled="f" o:preferrelative="t" stroked="f" coordsize="21600,21600">
            <v:path/>
            <v:fill on="f" focussize="0,0"/>
            <v:stroke on="f"/>
            <v:imagedata r:id="rId18" o:title=""/>
            <o:lock v:ext="edit" aspectratio="t"/>
            <w10:wrap type="none"/>
            <w10:anchorlock/>
          </v:shape>
          <o:OLEObject Type="Embed" ProgID="Equation.3" ShapeID="_x0000_i1027" DrawAspect="Content" ObjectID="_1468075727" r:id="rId17">
            <o:LockedField>false</o:LockedField>
          </o:OLEObject>
        </w:object>
      </w:r>
    </w:p>
    <w:p>
      <w:pPr>
        <w:rPr>
          <w:rFonts w:hint="eastAsia"/>
          <w:sz w:val="20"/>
          <w:szCs w:val="20"/>
          <w:vertAlign w:val="baseline"/>
          <w:lang w:val="en-US" w:eastAsia="zh-CN"/>
        </w:rPr>
      </w:pPr>
      <w:r>
        <w:rPr>
          <w:rFonts w:hint="eastAsia"/>
          <w:sz w:val="20"/>
          <w:szCs w:val="20"/>
          <w:vertAlign w:val="baseline"/>
          <w:lang w:val="en-US" w:eastAsia="zh-CN"/>
        </w:rPr>
        <w:t>So we propose to define OTA REFSENS for both FR1-NTN Ku bands and FR2-NTN Ku bands as follows:</w:t>
      </w:r>
    </w:p>
    <w:p>
      <w:pPr>
        <w:rPr>
          <w:rFonts w:hint="default"/>
          <w:sz w:val="20"/>
          <w:szCs w:val="20"/>
          <w:vertAlign w:val="baseline"/>
          <w:lang w:val="en-US" w:eastAsia="zh-CN"/>
        </w:rPr>
      </w:pPr>
      <w:r>
        <w:rPr>
          <w:rFonts w:hint="default"/>
          <w:sz w:val="20"/>
          <w:szCs w:val="20"/>
          <w:vertAlign w:val="baseline"/>
          <w:lang w:val="en-US" w:eastAsia="zh-CN"/>
        </w:rPr>
        <w:t>For GEO class SAN, EISREFSENS_</w:t>
      </w:r>
      <w:r>
        <w:rPr>
          <w:rFonts w:hint="eastAsia"/>
          <w:sz w:val="20"/>
          <w:szCs w:val="20"/>
          <w:vertAlign w:val="baseline"/>
          <w:lang w:val="en-US" w:eastAsia="zh-CN"/>
        </w:rPr>
        <w:t>5</w:t>
      </w:r>
      <w:r>
        <w:rPr>
          <w:rFonts w:hint="default"/>
          <w:sz w:val="20"/>
          <w:szCs w:val="20"/>
          <w:vertAlign w:val="baseline"/>
          <w:lang w:val="en-US" w:eastAsia="zh-CN"/>
        </w:rPr>
        <w:t>0M is an integer value in the range [-1</w:t>
      </w:r>
      <w:r>
        <w:rPr>
          <w:rFonts w:hint="eastAsia"/>
          <w:sz w:val="20"/>
          <w:szCs w:val="20"/>
          <w:vertAlign w:val="baseline"/>
          <w:lang w:val="en-US" w:eastAsia="zh-CN"/>
        </w:rPr>
        <w:t>56</w:t>
      </w:r>
      <w:r>
        <w:rPr>
          <w:rFonts w:hint="default"/>
          <w:sz w:val="20"/>
          <w:szCs w:val="20"/>
          <w:vertAlign w:val="baseline"/>
          <w:lang w:val="en-US" w:eastAsia="zh-CN"/>
        </w:rPr>
        <w:t>] to [-1</w:t>
      </w:r>
      <w:r>
        <w:rPr>
          <w:rFonts w:hint="eastAsia"/>
          <w:sz w:val="20"/>
          <w:szCs w:val="20"/>
          <w:vertAlign w:val="baseline"/>
          <w:lang w:val="en-US" w:eastAsia="zh-CN"/>
        </w:rPr>
        <w:t>64</w:t>
      </w:r>
      <w:r>
        <w:rPr>
          <w:rFonts w:hint="default"/>
          <w:sz w:val="20"/>
          <w:szCs w:val="20"/>
          <w:vertAlign w:val="baseline"/>
          <w:lang w:val="en-US" w:eastAsia="zh-CN"/>
        </w:rPr>
        <w:t>] dBm. The specific value is declared by the vendor.</w:t>
      </w:r>
    </w:p>
    <w:p>
      <w:pPr>
        <w:rPr>
          <w:rFonts w:hint="default"/>
          <w:sz w:val="20"/>
          <w:szCs w:val="20"/>
          <w:vertAlign w:val="baseline"/>
          <w:lang w:val="en-US" w:eastAsia="zh-CN"/>
        </w:rPr>
      </w:pPr>
      <w:r>
        <w:rPr>
          <w:rFonts w:hint="default"/>
          <w:sz w:val="20"/>
          <w:szCs w:val="20"/>
          <w:vertAlign w:val="baseline"/>
          <w:lang w:val="en-US" w:eastAsia="zh-CN"/>
        </w:rPr>
        <w:t>For LEO class SAN, EISREFSENS_</w:t>
      </w:r>
      <w:r>
        <w:rPr>
          <w:rFonts w:hint="eastAsia"/>
          <w:sz w:val="20"/>
          <w:szCs w:val="20"/>
          <w:vertAlign w:val="baseline"/>
          <w:lang w:val="en-US" w:eastAsia="zh-CN"/>
        </w:rPr>
        <w:t>5</w:t>
      </w:r>
      <w:r>
        <w:rPr>
          <w:rFonts w:hint="default"/>
          <w:sz w:val="20"/>
          <w:szCs w:val="20"/>
          <w:vertAlign w:val="baseline"/>
          <w:lang w:val="en-US" w:eastAsia="zh-CN"/>
        </w:rPr>
        <w:t>0M is an integer value in the range [-1</w:t>
      </w:r>
      <w:r>
        <w:rPr>
          <w:rFonts w:hint="eastAsia"/>
          <w:sz w:val="20"/>
          <w:szCs w:val="20"/>
          <w:vertAlign w:val="baseline"/>
          <w:lang w:val="en-US" w:eastAsia="zh-CN"/>
        </w:rPr>
        <w:t>51</w:t>
      </w:r>
      <w:r>
        <w:rPr>
          <w:rFonts w:hint="default"/>
          <w:sz w:val="20"/>
          <w:szCs w:val="20"/>
          <w:vertAlign w:val="baseline"/>
          <w:lang w:val="en-US" w:eastAsia="zh-CN"/>
        </w:rPr>
        <w:t>] to [-1</w:t>
      </w:r>
      <w:r>
        <w:rPr>
          <w:rFonts w:hint="eastAsia"/>
          <w:sz w:val="20"/>
          <w:szCs w:val="20"/>
          <w:vertAlign w:val="baseline"/>
          <w:lang w:val="en-US" w:eastAsia="zh-CN"/>
        </w:rPr>
        <w:t>59</w:t>
      </w:r>
      <w:r>
        <w:rPr>
          <w:rFonts w:hint="default"/>
          <w:sz w:val="20"/>
          <w:szCs w:val="20"/>
          <w:vertAlign w:val="baseline"/>
          <w:lang w:val="en-US" w:eastAsia="zh-CN"/>
        </w:rPr>
        <w:t>] dBm. The specific value is declared by the vendor.</w:t>
      </w:r>
    </w:p>
    <w:p>
      <w:pPr>
        <w:rPr>
          <w:rFonts w:hint="eastAsia"/>
          <w:b/>
          <w:bCs/>
          <w:sz w:val="20"/>
          <w:szCs w:val="20"/>
          <w:vertAlign w:val="baseline"/>
          <w:lang w:val="en-US" w:eastAsia="zh-CN"/>
        </w:rPr>
      </w:pPr>
      <w:r>
        <w:rPr>
          <w:rFonts w:hint="eastAsia"/>
          <w:b/>
          <w:bCs/>
          <w:i w:val="0"/>
          <w:iCs w:val="0"/>
          <w:sz w:val="20"/>
          <w:szCs w:val="20"/>
          <w:lang w:val="en-US" w:eastAsia="zh-CN"/>
        </w:rPr>
        <w:t xml:space="preserve">Proposal 2: It is proposed </w:t>
      </w:r>
      <w:r>
        <w:rPr>
          <w:rFonts w:hint="eastAsia"/>
          <w:b/>
          <w:bCs/>
          <w:sz w:val="20"/>
          <w:szCs w:val="20"/>
          <w:vertAlign w:val="baseline"/>
          <w:lang w:val="en-US" w:eastAsia="zh-CN"/>
        </w:rPr>
        <w:t>to define OTA REFSENS for both FR1-NTN Ku bands and FR2-NTN Ku bands as follows:</w:t>
      </w:r>
    </w:p>
    <w:p>
      <w:pPr>
        <w:keepNext w:val="0"/>
        <w:keepLines w:val="0"/>
        <w:pageBreakBefore w:val="0"/>
        <w:widowControl/>
        <w:kinsoku/>
        <w:wordWrap/>
        <w:overflowPunct/>
        <w:topLinePunct w:val="0"/>
        <w:autoSpaceDE/>
        <w:autoSpaceDN/>
        <w:bidi w:val="0"/>
        <w:adjustRightInd/>
        <w:snapToGrid/>
        <w:spacing w:line="260" w:lineRule="auto"/>
        <w:ind w:left="420" w:leftChars="200"/>
        <w:textAlignment w:val="auto"/>
        <w:rPr>
          <w:rFonts w:hint="default"/>
          <w:b/>
          <w:bCs/>
          <w:sz w:val="20"/>
          <w:szCs w:val="20"/>
          <w:vertAlign w:val="baseline"/>
          <w:lang w:val="en-US" w:eastAsia="zh-CN"/>
        </w:rPr>
      </w:pPr>
      <w:r>
        <w:rPr>
          <w:rFonts w:hint="default"/>
          <w:b/>
          <w:bCs/>
          <w:sz w:val="20"/>
          <w:szCs w:val="20"/>
          <w:vertAlign w:val="baseline"/>
          <w:lang w:val="en-US" w:eastAsia="zh-CN"/>
        </w:rPr>
        <w:t>For GEO class SAN, EISREFSENS_</w:t>
      </w:r>
      <w:r>
        <w:rPr>
          <w:rFonts w:hint="eastAsia"/>
          <w:b/>
          <w:bCs/>
          <w:sz w:val="20"/>
          <w:szCs w:val="20"/>
          <w:vertAlign w:val="baseline"/>
          <w:lang w:val="en-US" w:eastAsia="zh-CN"/>
        </w:rPr>
        <w:t>5</w:t>
      </w:r>
      <w:r>
        <w:rPr>
          <w:rFonts w:hint="default"/>
          <w:b/>
          <w:bCs/>
          <w:sz w:val="20"/>
          <w:szCs w:val="20"/>
          <w:vertAlign w:val="baseline"/>
          <w:lang w:val="en-US" w:eastAsia="zh-CN"/>
        </w:rPr>
        <w:t>0M is an integer value in the range [-1</w:t>
      </w:r>
      <w:r>
        <w:rPr>
          <w:rFonts w:hint="eastAsia"/>
          <w:b/>
          <w:bCs/>
          <w:sz w:val="20"/>
          <w:szCs w:val="20"/>
          <w:vertAlign w:val="baseline"/>
          <w:lang w:val="en-US" w:eastAsia="zh-CN"/>
        </w:rPr>
        <w:t>56</w:t>
      </w:r>
      <w:r>
        <w:rPr>
          <w:rFonts w:hint="default"/>
          <w:b/>
          <w:bCs/>
          <w:sz w:val="20"/>
          <w:szCs w:val="20"/>
          <w:vertAlign w:val="baseline"/>
          <w:lang w:val="en-US" w:eastAsia="zh-CN"/>
        </w:rPr>
        <w:t>] to [-1</w:t>
      </w:r>
      <w:r>
        <w:rPr>
          <w:rFonts w:hint="eastAsia"/>
          <w:b/>
          <w:bCs/>
          <w:sz w:val="20"/>
          <w:szCs w:val="20"/>
          <w:vertAlign w:val="baseline"/>
          <w:lang w:val="en-US" w:eastAsia="zh-CN"/>
        </w:rPr>
        <w:t>64</w:t>
      </w:r>
      <w:r>
        <w:rPr>
          <w:rFonts w:hint="default"/>
          <w:b/>
          <w:bCs/>
          <w:sz w:val="20"/>
          <w:szCs w:val="20"/>
          <w:vertAlign w:val="baseline"/>
          <w:lang w:val="en-US" w:eastAsia="zh-CN"/>
        </w:rPr>
        <w:t>] dBm. The specific value is declared by the vendor.</w:t>
      </w:r>
    </w:p>
    <w:p>
      <w:pPr>
        <w:keepNext w:val="0"/>
        <w:keepLines w:val="0"/>
        <w:pageBreakBefore w:val="0"/>
        <w:widowControl/>
        <w:kinsoku/>
        <w:wordWrap/>
        <w:overflowPunct/>
        <w:topLinePunct w:val="0"/>
        <w:autoSpaceDE/>
        <w:autoSpaceDN/>
        <w:bidi w:val="0"/>
        <w:adjustRightInd/>
        <w:snapToGrid/>
        <w:spacing w:line="260" w:lineRule="auto"/>
        <w:ind w:left="420" w:leftChars="200"/>
        <w:textAlignment w:val="auto"/>
        <w:rPr>
          <w:rFonts w:hint="eastAsia"/>
          <w:b/>
          <w:bCs/>
          <w:i w:val="0"/>
          <w:iCs w:val="0"/>
          <w:sz w:val="20"/>
          <w:szCs w:val="20"/>
          <w:lang w:val="en-US" w:eastAsia="zh-CN"/>
        </w:rPr>
      </w:pPr>
      <w:r>
        <w:rPr>
          <w:rFonts w:hint="default"/>
          <w:b/>
          <w:bCs/>
          <w:sz w:val="20"/>
          <w:szCs w:val="20"/>
          <w:vertAlign w:val="baseline"/>
          <w:lang w:val="en-US" w:eastAsia="zh-CN"/>
        </w:rPr>
        <w:t>For LEO class SAN, EISREFSENS_</w:t>
      </w:r>
      <w:r>
        <w:rPr>
          <w:rFonts w:hint="eastAsia"/>
          <w:b/>
          <w:bCs/>
          <w:sz w:val="20"/>
          <w:szCs w:val="20"/>
          <w:vertAlign w:val="baseline"/>
          <w:lang w:val="en-US" w:eastAsia="zh-CN"/>
        </w:rPr>
        <w:t>5</w:t>
      </w:r>
      <w:r>
        <w:rPr>
          <w:rFonts w:hint="default"/>
          <w:b/>
          <w:bCs/>
          <w:sz w:val="20"/>
          <w:szCs w:val="20"/>
          <w:vertAlign w:val="baseline"/>
          <w:lang w:val="en-US" w:eastAsia="zh-CN"/>
        </w:rPr>
        <w:t>0M is an integer value in the range [-1</w:t>
      </w:r>
      <w:r>
        <w:rPr>
          <w:rFonts w:hint="eastAsia"/>
          <w:b/>
          <w:bCs/>
          <w:sz w:val="20"/>
          <w:szCs w:val="20"/>
          <w:vertAlign w:val="baseline"/>
          <w:lang w:val="en-US" w:eastAsia="zh-CN"/>
        </w:rPr>
        <w:t>51</w:t>
      </w:r>
      <w:r>
        <w:rPr>
          <w:rFonts w:hint="default"/>
          <w:b/>
          <w:bCs/>
          <w:sz w:val="20"/>
          <w:szCs w:val="20"/>
          <w:vertAlign w:val="baseline"/>
          <w:lang w:val="en-US" w:eastAsia="zh-CN"/>
        </w:rPr>
        <w:t>] to [-1</w:t>
      </w:r>
      <w:r>
        <w:rPr>
          <w:rFonts w:hint="eastAsia"/>
          <w:b/>
          <w:bCs/>
          <w:sz w:val="20"/>
          <w:szCs w:val="20"/>
          <w:vertAlign w:val="baseline"/>
          <w:lang w:val="en-US" w:eastAsia="zh-CN"/>
        </w:rPr>
        <w:t>59</w:t>
      </w:r>
      <w:r>
        <w:rPr>
          <w:rFonts w:hint="default"/>
          <w:b/>
          <w:bCs/>
          <w:sz w:val="20"/>
          <w:szCs w:val="20"/>
          <w:vertAlign w:val="baseline"/>
          <w:lang w:val="en-US" w:eastAsia="zh-CN"/>
        </w:rPr>
        <w:t>] dBm. The specific value is declared by the vendor.</w:t>
      </w:r>
    </w:p>
    <w:p>
      <w:pPr>
        <w:rPr>
          <w:rFonts w:hint="default"/>
          <w:lang w:val="en-US" w:eastAsia="zh-CN"/>
        </w:rPr>
      </w:pPr>
    </w:p>
    <w:p>
      <w:pPr>
        <w:pStyle w:val="4"/>
        <w:numPr>
          <w:ilvl w:val="2"/>
          <w:numId w:val="0"/>
        </w:numPr>
        <w:bidi w:val="0"/>
        <w:ind w:leftChars="0" w:right="0" w:rightChars="0"/>
        <w:rPr>
          <w:rFonts w:hint="eastAsia"/>
          <w:lang w:val="en-US" w:eastAsia="zh-CN"/>
        </w:rPr>
      </w:pPr>
      <w:r>
        <w:rPr>
          <w:rFonts w:hint="eastAsia"/>
          <w:lang w:val="en-US" w:eastAsia="zh-CN"/>
        </w:rPr>
        <w:t>2.2.2 OTA out-of-band blocking</w:t>
      </w:r>
    </w:p>
    <w:p>
      <w:pPr>
        <w:rPr>
          <w:rFonts w:hint="eastAsia"/>
          <w:sz w:val="20"/>
          <w:szCs w:val="20"/>
          <w:lang w:val="en-US" w:eastAsia="zh-CN"/>
        </w:rPr>
      </w:pPr>
      <w:r>
        <w:rPr>
          <w:rFonts w:hint="eastAsia"/>
          <w:b w:val="0"/>
          <w:bCs w:val="0"/>
          <w:kern w:val="2"/>
          <w:sz w:val="20"/>
          <w:szCs w:val="20"/>
          <w:lang w:val="en-US" w:eastAsia="zh-CN"/>
        </w:rPr>
        <w:t xml:space="preserve">For OTA out-of-band blocking, we need to specify </w:t>
      </w:r>
      <w:r>
        <w:rPr>
          <w:rFonts w:hint="default" w:ascii="Times New Roman" w:hAnsi="Times New Roman" w:cs="Times New Roman"/>
          <w:b w:val="0"/>
          <w:bCs w:val="0"/>
          <w:kern w:val="2"/>
          <w:sz w:val="20"/>
          <w:szCs w:val="20"/>
          <w:lang w:val="en-US" w:eastAsia="zh-CN"/>
        </w:rPr>
        <w:t>∆</w:t>
      </w:r>
      <w:r>
        <w:rPr>
          <w:rFonts w:hint="eastAsia"/>
          <w:b w:val="0"/>
          <w:bCs w:val="0"/>
          <w:kern w:val="2"/>
          <w:sz w:val="20"/>
          <w:szCs w:val="20"/>
          <w:lang w:val="en-US" w:eastAsia="zh-CN"/>
        </w:rPr>
        <w:t>f</w:t>
      </w:r>
      <w:r>
        <w:rPr>
          <w:rFonts w:hint="eastAsia"/>
          <w:b w:val="0"/>
          <w:bCs w:val="0"/>
          <w:kern w:val="2"/>
          <w:sz w:val="20"/>
          <w:szCs w:val="20"/>
          <w:vertAlign w:val="subscript"/>
          <w:lang w:val="en-US" w:eastAsia="zh-CN"/>
        </w:rPr>
        <w:t>OOB</w:t>
      </w:r>
      <w:r>
        <w:rPr>
          <w:rFonts w:hint="eastAsia"/>
          <w:b w:val="0"/>
          <w:bCs w:val="0"/>
          <w:kern w:val="2"/>
          <w:sz w:val="20"/>
          <w:szCs w:val="20"/>
          <w:lang w:val="en-US" w:eastAsia="zh-CN"/>
        </w:rPr>
        <w:t xml:space="preserve"> requirement for Ku band. According to TR 38.922, it is agreed to </w:t>
      </w:r>
      <w:r>
        <w:rPr>
          <w:sz w:val="20"/>
          <w:szCs w:val="20"/>
        </w:rPr>
        <w:t>adopt Δf</w:t>
      </w:r>
      <w:r>
        <w:rPr>
          <w:sz w:val="20"/>
          <w:szCs w:val="20"/>
          <w:vertAlign w:val="subscript"/>
        </w:rPr>
        <w:t>OOB</w:t>
      </w:r>
      <w:r>
        <w:rPr>
          <w:sz w:val="20"/>
          <w:szCs w:val="20"/>
        </w:rPr>
        <w:t xml:space="preserve"> = 100 MHz for AAS BS</w:t>
      </w:r>
      <w:r>
        <w:rPr>
          <w:rFonts w:hint="eastAsia"/>
          <w:sz w:val="20"/>
          <w:szCs w:val="20"/>
          <w:lang w:val="en-US" w:eastAsia="zh-CN"/>
        </w:rPr>
        <w:t xml:space="preserve"> in 14800 - 15350 MHz frequency range</w:t>
      </w:r>
      <w:r>
        <w:rPr>
          <w:sz w:val="20"/>
          <w:szCs w:val="20"/>
        </w:rPr>
        <w:t>.</w:t>
      </w:r>
      <w:r>
        <w:rPr>
          <w:rFonts w:hint="eastAsia"/>
          <w:sz w:val="20"/>
          <w:szCs w:val="20"/>
          <w:lang w:val="en-US" w:eastAsia="zh-CN"/>
        </w:rPr>
        <w:t xml:space="preserve"> We propose to reuse </w:t>
      </w:r>
      <w:r>
        <w:rPr>
          <w:sz w:val="20"/>
          <w:szCs w:val="20"/>
        </w:rPr>
        <w:t>Δf</w:t>
      </w:r>
      <w:r>
        <w:rPr>
          <w:sz w:val="20"/>
          <w:szCs w:val="20"/>
          <w:vertAlign w:val="subscript"/>
        </w:rPr>
        <w:t>OOB</w:t>
      </w:r>
      <w:r>
        <w:rPr>
          <w:sz w:val="20"/>
          <w:szCs w:val="20"/>
        </w:rPr>
        <w:t xml:space="preserve"> = 100 MHz</w:t>
      </w:r>
      <w:r>
        <w:rPr>
          <w:rFonts w:hint="eastAsia"/>
          <w:sz w:val="20"/>
          <w:szCs w:val="20"/>
          <w:lang w:val="en-US" w:eastAsia="zh-CN"/>
        </w:rPr>
        <w:t xml:space="preserve"> for both FR1-NTN Ku bands and FR2-NTN Ku bands.</w:t>
      </w:r>
    </w:p>
    <w:p>
      <w:pPr>
        <w:rPr>
          <w:rFonts w:hint="eastAsia"/>
          <w:b/>
          <w:bCs/>
          <w:sz w:val="20"/>
          <w:szCs w:val="20"/>
          <w:vertAlign w:val="baseline"/>
          <w:lang w:val="en-US" w:eastAsia="zh-CN"/>
        </w:rPr>
      </w:pPr>
      <w:r>
        <w:rPr>
          <w:rFonts w:hint="eastAsia"/>
          <w:b/>
          <w:bCs/>
          <w:i w:val="0"/>
          <w:iCs w:val="0"/>
          <w:sz w:val="20"/>
          <w:szCs w:val="20"/>
          <w:lang w:val="en-US" w:eastAsia="zh-CN"/>
        </w:rPr>
        <w:t xml:space="preserve">Proposal 3: It is proposed </w:t>
      </w:r>
      <w:r>
        <w:rPr>
          <w:rFonts w:hint="eastAsia"/>
          <w:b/>
          <w:bCs/>
          <w:sz w:val="20"/>
          <w:szCs w:val="20"/>
          <w:vertAlign w:val="baseline"/>
          <w:lang w:val="en-US" w:eastAsia="zh-CN"/>
        </w:rPr>
        <w:t>to reuse Δf</w:t>
      </w:r>
      <w:r>
        <w:rPr>
          <w:rFonts w:hint="eastAsia"/>
          <w:b/>
          <w:bCs/>
          <w:sz w:val="20"/>
          <w:szCs w:val="20"/>
          <w:vertAlign w:val="subscript"/>
          <w:lang w:val="en-US" w:eastAsia="zh-CN"/>
        </w:rPr>
        <w:t xml:space="preserve">OOB </w:t>
      </w:r>
      <w:r>
        <w:rPr>
          <w:rFonts w:hint="eastAsia"/>
          <w:b/>
          <w:bCs/>
          <w:sz w:val="20"/>
          <w:szCs w:val="20"/>
          <w:vertAlign w:val="baseline"/>
          <w:lang w:val="en-US" w:eastAsia="zh-CN"/>
        </w:rPr>
        <w:t>= 100 MHz for both FR1-NTN Ku bands and FR2-NTN Ku bands.</w:t>
      </w:r>
    </w:p>
    <w:p>
      <w:pPr>
        <w:rPr>
          <w:rFonts w:hint="default"/>
          <w:b/>
          <w:bCs/>
          <w:sz w:val="20"/>
          <w:szCs w:val="20"/>
          <w:vertAlign w:val="baseline"/>
          <w:lang w:val="en-US" w:eastAsia="zh-CN"/>
        </w:rPr>
      </w:pPr>
    </w:p>
    <w:p>
      <w:pPr>
        <w:pStyle w:val="4"/>
        <w:numPr>
          <w:ilvl w:val="2"/>
          <w:numId w:val="0"/>
        </w:numPr>
        <w:bidi w:val="0"/>
        <w:ind w:leftChars="0" w:right="0" w:rightChars="0"/>
        <w:rPr>
          <w:rFonts w:hint="eastAsia"/>
          <w:lang w:val="en-US" w:eastAsia="zh-CN"/>
        </w:rPr>
      </w:pPr>
      <w:r>
        <w:rPr>
          <w:rFonts w:hint="eastAsia"/>
          <w:lang w:val="en-US" w:eastAsia="zh-CN"/>
        </w:rPr>
        <w:t>2.2.3 OTA in-channel selectivity</w:t>
      </w:r>
    </w:p>
    <w:p>
      <w:pPr>
        <w:rPr>
          <w:rFonts w:hint="eastAsia"/>
          <w:sz w:val="20"/>
          <w:szCs w:val="20"/>
          <w:lang w:val="en-US" w:eastAsia="zh-CN"/>
        </w:rPr>
      </w:pPr>
      <w:r>
        <w:rPr>
          <w:rFonts w:hint="eastAsia"/>
          <w:sz w:val="20"/>
          <w:szCs w:val="20"/>
          <w:lang w:val="en-US" w:eastAsia="zh-CN"/>
        </w:rPr>
        <w:t xml:space="preserve">For Ka band, SAN OTA ICS requirement is defined through figuring out IOT levels in this system due to the co-channel interference from other cells or beams [5][6]. For Ku band, we can adopt the same approach to specify OTA ICS requirement. Based on the agreed coexistence simulation assumptions, we simulate IOT levels as shown in following figures. It can be observed that IOT @ 95% CDF is 25dB for VSAT parabolic and phased array antenna pattern for </w:t>
      </w:r>
      <w:r>
        <w:rPr>
          <w:sz w:val="20"/>
          <w:szCs w:val="20"/>
          <w:lang w:val="en-GB"/>
        </w:rPr>
        <w:t>GEO scenario</w:t>
      </w:r>
      <w:r>
        <w:rPr>
          <w:rFonts w:hint="eastAsia"/>
          <w:sz w:val="20"/>
          <w:szCs w:val="20"/>
          <w:lang w:val="en-US" w:eastAsia="zh-CN"/>
        </w:rPr>
        <w:t xml:space="preserve"> when FRF=1, which is similar as Ka band. If FRF=2 </w:t>
      </w:r>
      <w:r>
        <w:rPr>
          <w:sz w:val="20"/>
          <w:szCs w:val="20"/>
        </w:rPr>
        <w:t xml:space="preserve">with dual polarization </w:t>
      </w:r>
      <w:r>
        <w:rPr>
          <w:rFonts w:hint="eastAsia"/>
          <w:sz w:val="20"/>
          <w:szCs w:val="20"/>
          <w:lang w:val="en-US" w:eastAsia="zh-CN"/>
        </w:rPr>
        <w:t xml:space="preserve">is </w:t>
      </w:r>
      <w:r>
        <w:rPr>
          <w:sz w:val="20"/>
          <w:szCs w:val="20"/>
        </w:rPr>
        <w:t xml:space="preserve">considered, </w:t>
      </w:r>
      <w:r>
        <w:rPr>
          <w:rFonts w:hint="eastAsia"/>
          <w:sz w:val="20"/>
          <w:szCs w:val="20"/>
          <w:lang w:val="en-US" w:eastAsia="zh-CN"/>
        </w:rPr>
        <w:t xml:space="preserve">the expected </w:t>
      </w:r>
      <w:r>
        <w:rPr>
          <w:sz w:val="20"/>
          <w:szCs w:val="20"/>
        </w:rPr>
        <w:t>IoT level would be</w:t>
      </w:r>
      <w:r>
        <w:rPr>
          <w:rFonts w:hint="eastAsia"/>
          <w:sz w:val="20"/>
          <w:szCs w:val="20"/>
          <w:lang w:val="en-US" w:eastAsia="zh-CN"/>
        </w:rPr>
        <w:t xml:space="preserve"> close to 0dB. </w:t>
      </w:r>
    </w:p>
    <w:p>
      <w:pPr>
        <w:jc w:val="center"/>
        <w:rPr>
          <w:rFonts w:hint="eastAsia"/>
          <w:lang w:val="en-US" w:eastAsia="zh-CN"/>
        </w:rPr>
      </w:pPr>
      <w:r>
        <w:rPr>
          <w:rFonts w:hint="eastAsia"/>
          <w:lang w:val="en-US" w:eastAsia="zh-CN"/>
        </w:rPr>
        <w:drawing>
          <wp:inline distT="0" distB="0" distL="114300" distR="114300">
            <wp:extent cx="3323590" cy="2493010"/>
            <wp:effectExtent l="0" t="0" r="1397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9"/>
                  </pic:blipFill>
                  <pic:spPr>
                    <a:xfrm>
                      <a:off x="0" y="0"/>
                      <a:ext cx="3323590" cy="2493010"/>
                    </a:xfrm>
                    <a:prstGeom prst="rect">
                      <a:avLst/>
                    </a:prstGeom>
                  </pic:spPr>
                </pic:pic>
              </a:graphicData>
            </a:graphic>
          </wp:inline>
        </w:drawing>
      </w:r>
    </w:p>
    <w:p>
      <w:pPr>
        <w:jc w:val="center"/>
        <w:rPr>
          <w:lang w:val="en-GB"/>
        </w:rPr>
      </w:pPr>
      <w:r>
        <w:rPr>
          <w:lang w:val="en-GB"/>
        </w:rPr>
        <w:t xml:space="preserve">Figure </w:t>
      </w:r>
      <w:r>
        <w:rPr>
          <w:rFonts w:hint="eastAsia"/>
          <w:lang w:val="en-US" w:eastAsia="zh-CN"/>
        </w:rPr>
        <w:t>1:</w:t>
      </w:r>
      <w:r>
        <w:rPr>
          <w:lang w:val="en-GB"/>
        </w:rPr>
        <w:t xml:space="preserve"> IoT level for </w:t>
      </w:r>
      <w:r>
        <w:rPr>
          <w:rFonts w:hint="eastAsia"/>
          <w:lang w:val="en-US" w:eastAsia="zh-CN"/>
        </w:rPr>
        <w:t xml:space="preserve">VSAT parabolic antenna pattern for </w:t>
      </w:r>
      <w:r>
        <w:rPr>
          <w:lang w:val="en-GB"/>
        </w:rPr>
        <w:t>GEO scenario [FRF=1]</w:t>
      </w:r>
    </w:p>
    <w:p>
      <w:pPr>
        <w:jc w:val="center"/>
        <w:rPr>
          <w:rFonts w:hint="eastAsia" w:eastAsia="宋体"/>
          <w:lang w:val="en-US" w:eastAsia="zh-CN"/>
        </w:rPr>
      </w:pPr>
      <w:r>
        <w:rPr>
          <w:rFonts w:hint="eastAsia" w:eastAsia="宋体"/>
          <w:lang w:val="en-US" w:eastAsia="zh-CN"/>
        </w:rPr>
        <w:drawing>
          <wp:inline distT="0" distB="0" distL="114300" distR="114300">
            <wp:extent cx="3325495" cy="2494915"/>
            <wp:effectExtent l="0" t="0" r="12065"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0"/>
                  </pic:blipFill>
                  <pic:spPr>
                    <a:xfrm>
                      <a:off x="0" y="0"/>
                      <a:ext cx="3325495" cy="2494915"/>
                    </a:xfrm>
                    <a:prstGeom prst="rect">
                      <a:avLst/>
                    </a:prstGeom>
                  </pic:spPr>
                </pic:pic>
              </a:graphicData>
            </a:graphic>
          </wp:inline>
        </w:drawing>
      </w:r>
    </w:p>
    <w:p>
      <w:pPr>
        <w:jc w:val="center"/>
        <w:rPr>
          <w:rFonts w:hint="eastAsia" w:eastAsia="宋体"/>
          <w:lang w:val="en-US" w:eastAsia="zh-CN"/>
        </w:rPr>
      </w:pPr>
      <w:r>
        <w:rPr>
          <w:lang w:val="en-GB"/>
        </w:rPr>
        <w:t xml:space="preserve">Figure </w:t>
      </w:r>
      <w:r>
        <w:rPr>
          <w:rFonts w:hint="eastAsia"/>
          <w:lang w:val="en-US" w:eastAsia="zh-CN"/>
        </w:rPr>
        <w:t>2:</w:t>
      </w:r>
      <w:r>
        <w:rPr>
          <w:lang w:val="en-GB"/>
        </w:rPr>
        <w:t xml:space="preserve"> IoT level for </w:t>
      </w:r>
      <w:r>
        <w:rPr>
          <w:rFonts w:hint="eastAsia"/>
          <w:lang w:val="en-US" w:eastAsia="zh-CN"/>
        </w:rPr>
        <w:t xml:space="preserve">VSAT phased array antenna pattern for </w:t>
      </w:r>
      <w:r>
        <w:rPr>
          <w:lang w:val="en-GB"/>
        </w:rPr>
        <w:t>GEO scenario [FRF=1]</w:t>
      </w:r>
    </w:p>
    <w:p>
      <w:pPr>
        <w:rPr>
          <w:rFonts w:hint="eastAsia"/>
          <w:b/>
          <w:bCs/>
          <w:i w:val="0"/>
          <w:iCs w:val="0"/>
          <w:sz w:val="20"/>
          <w:szCs w:val="20"/>
          <w:lang w:val="en-US" w:eastAsia="zh-CN"/>
        </w:rPr>
      </w:pPr>
      <w:r>
        <w:rPr>
          <w:rFonts w:hint="eastAsia"/>
          <w:b/>
          <w:bCs/>
          <w:i w:val="0"/>
          <w:iCs w:val="0"/>
          <w:sz w:val="20"/>
          <w:szCs w:val="20"/>
          <w:lang w:val="en-US" w:eastAsia="zh-CN"/>
        </w:rPr>
        <w:t>Observation 1: For FRF=1, IOT @ 95% CDF is 25dB for GEO scenario.</w:t>
      </w:r>
    </w:p>
    <w:p>
      <w:pPr>
        <w:rPr>
          <w:rFonts w:hint="default"/>
          <w:b/>
          <w:bCs/>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 some views on </w:t>
      </w:r>
      <w:r>
        <w:rPr>
          <w:rFonts w:hint="eastAsia" w:cs="Times New Roman"/>
          <w:b w:val="0"/>
          <w:bCs w:val="0"/>
          <w:kern w:val="0"/>
          <w:sz w:val="20"/>
          <w:szCs w:val="20"/>
          <w:highlight w:val="none"/>
          <w:lang w:val="en-US" w:eastAsia="zh-CN" w:bidi="ar-SA"/>
        </w:rPr>
        <w:t>SAN RF requirements</w:t>
      </w:r>
      <w:r>
        <w:rPr>
          <w:rFonts w:hint="eastAsia" w:ascii="Times New Roman" w:hAnsi="Times New Roman" w:eastAsia="宋体" w:cs="Times New Roman"/>
          <w:b w:val="0"/>
          <w:bCs w:val="0"/>
          <w:kern w:val="0"/>
          <w:sz w:val="20"/>
          <w:szCs w:val="20"/>
          <w:highlight w:val="none"/>
          <w:lang w:val="en-US" w:eastAsia="zh-CN" w:bidi="ar-SA"/>
        </w:rPr>
        <w:t xml:space="preserve"> for NTN </w:t>
      </w:r>
      <w:r>
        <w:rPr>
          <w:rFonts w:hint="eastAsia" w:cs="Times New Roman"/>
          <w:b w:val="0"/>
          <w:bCs w:val="0"/>
          <w:kern w:val="0"/>
          <w:sz w:val="20"/>
          <w:szCs w:val="20"/>
          <w:highlight w:val="none"/>
          <w:lang w:val="en-US" w:eastAsia="zh-CN" w:bidi="ar-SA"/>
        </w:rPr>
        <w:t>Ku band</w:t>
      </w:r>
      <w:r>
        <w:rPr>
          <w:rFonts w:hint="eastAsia" w:ascii="Times New Roman" w:hAnsi="Times New Roman" w:eastAsia="宋体" w:cs="Times New Roman"/>
          <w:b w:val="0"/>
          <w:bCs w:val="0"/>
          <w:kern w:val="0"/>
          <w:sz w:val="20"/>
          <w:szCs w:val="20"/>
          <w:highlight w:val="none"/>
          <w:lang w:val="en-US" w:eastAsia="zh-CN" w:bidi="ar-SA"/>
        </w:rPr>
        <w:t xml:space="preserve"> 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jc w:val="both"/>
        <w:rPr>
          <w:rFonts w:hint="default"/>
          <w:b/>
          <w:bCs/>
          <w:i w:val="0"/>
          <w:iCs w:val="0"/>
          <w:sz w:val="20"/>
          <w:szCs w:val="20"/>
          <w:lang w:val="en-US" w:eastAsia="zh-CN"/>
        </w:rPr>
      </w:pPr>
      <w:r>
        <w:rPr>
          <w:rFonts w:hint="eastAsia"/>
          <w:b/>
          <w:bCs/>
          <w:i w:val="0"/>
          <w:iCs w:val="0"/>
          <w:sz w:val="20"/>
          <w:szCs w:val="20"/>
          <w:lang w:val="en-US" w:eastAsia="zh-CN"/>
        </w:rPr>
        <w:t>Proposal 1: It is proposed to define the upper limit of spurious frequency range as 26 GHz for both FR1-NTN Ku bands and FR2-NTN Ku bands.</w:t>
      </w:r>
    </w:p>
    <w:p>
      <w:pPr>
        <w:rPr>
          <w:rFonts w:hint="eastAsia"/>
          <w:b/>
          <w:bCs/>
          <w:sz w:val="20"/>
          <w:szCs w:val="20"/>
          <w:vertAlign w:val="baseline"/>
          <w:lang w:val="en-US" w:eastAsia="zh-CN"/>
        </w:rPr>
      </w:pPr>
      <w:r>
        <w:rPr>
          <w:rFonts w:hint="eastAsia"/>
          <w:b/>
          <w:bCs/>
          <w:i w:val="0"/>
          <w:iCs w:val="0"/>
          <w:sz w:val="20"/>
          <w:szCs w:val="20"/>
          <w:lang w:val="en-US" w:eastAsia="zh-CN"/>
        </w:rPr>
        <w:t xml:space="preserve">Proposal 2: It is proposed </w:t>
      </w:r>
      <w:r>
        <w:rPr>
          <w:rFonts w:hint="eastAsia"/>
          <w:b/>
          <w:bCs/>
          <w:sz w:val="20"/>
          <w:szCs w:val="20"/>
          <w:vertAlign w:val="baseline"/>
          <w:lang w:val="en-US" w:eastAsia="zh-CN"/>
        </w:rPr>
        <w:t>to define OTA REFSENS for both FR1-NTN Ku bands and FR2-NTN Ku bands as follows:</w:t>
      </w:r>
    </w:p>
    <w:p>
      <w:pPr>
        <w:keepNext w:val="0"/>
        <w:keepLines w:val="0"/>
        <w:pageBreakBefore w:val="0"/>
        <w:widowControl/>
        <w:kinsoku/>
        <w:wordWrap/>
        <w:overflowPunct/>
        <w:topLinePunct w:val="0"/>
        <w:autoSpaceDE/>
        <w:autoSpaceDN/>
        <w:bidi w:val="0"/>
        <w:adjustRightInd/>
        <w:snapToGrid/>
        <w:spacing w:line="260" w:lineRule="auto"/>
        <w:ind w:left="420" w:leftChars="200"/>
        <w:textAlignment w:val="auto"/>
        <w:rPr>
          <w:rFonts w:hint="default"/>
          <w:b/>
          <w:bCs/>
          <w:sz w:val="20"/>
          <w:szCs w:val="20"/>
          <w:vertAlign w:val="baseline"/>
          <w:lang w:val="en-US" w:eastAsia="zh-CN"/>
        </w:rPr>
      </w:pPr>
      <w:r>
        <w:rPr>
          <w:rFonts w:hint="default"/>
          <w:b/>
          <w:bCs/>
          <w:sz w:val="20"/>
          <w:szCs w:val="20"/>
          <w:vertAlign w:val="baseline"/>
          <w:lang w:val="en-US" w:eastAsia="zh-CN"/>
        </w:rPr>
        <w:t>For GEO class SAN, EISREFSENS_</w:t>
      </w:r>
      <w:r>
        <w:rPr>
          <w:rFonts w:hint="eastAsia"/>
          <w:b/>
          <w:bCs/>
          <w:sz w:val="20"/>
          <w:szCs w:val="20"/>
          <w:vertAlign w:val="baseline"/>
          <w:lang w:val="en-US" w:eastAsia="zh-CN"/>
        </w:rPr>
        <w:t>5</w:t>
      </w:r>
      <w:r>
        <w:rPr>
          <w:rFonts w:hint="default"/>
          <w:b/>
          <w:bCs/>
          <w:sz w:val="20"/>
          <w:szCs w:val="20"/>
          <w:vertAlign w:val="baseline"/>
          <w:lang w:val="en-US" w:eastAsia="zh-CN"/>
        </w:rPr>
        <w:t>0M is an integer value in the range [-1</w:t>
      </w:r>
      <w:r>
        <w:rPr>
          <w:rFonts w:hint="eastAsia"/>
          <w:b/>
          <w:bCs/>
          <w:sz w:val="20"/>
          <w:szCs w:val="20"/>
          <w:vertAlign w:val="baseline"/>
          <w:lang w:val="en-US" w:eastAsia="zh-CN"/>
        </w:rPr>
        <w:t>56</w:t>
      </w:r>
      <w:r>
        <w:rPr>
          <w:rFonts w:hint="default"/>
          <w:b/>
          <w:bCs/>
          <w:sz w:val="20"/>
          <w:szCs w:val="20"/>
          <w:vertAlign w:val="baseline"/>
          <w:lang w:val="en-US" w:eastAsia="zh-CN"/>
        </w:rPr>
        <w:t>] to [-1</w:t>
      </w:r>
      <w:r>
        <w:rPr>
          <w:rFonts w:hint="eastAsia"/>
          <w:b/>
          <w:bCs/>
          <w:sz w:val="20"/>
          <w:szCs w:val="20"/>
          <w:vertAlign w:val="baseline"/>
          <w:lang w:val="en-US" w:eastAsia="zh-CN"/>
        </w:rPr>
        <w:t>64</w:t>
      </w:r>
      <w:r>
        <w:rPr>
          <w:rFonts w:hint="default"/>
          <w:b/>
          <w:bCs/>
          <w:sz w:val="20"/>
          <w:szCs w:val="20"/>
          <w:vertAlign w:val="baseline"/>
          <w:lang w:val="en-US" w:eastAsia="zh-CN"/>
        </w:rPr>
        <w:t>] dBm. The specific value is declared by the vendor.</w:t>
      </w:r>
    </w:p>
    <w:p>
      <w:pPr>
        <w:keepNext w:val="0"/>
        <w:keepLines w:val="0"/>
        <w:pageBreakBefore w:val="0"/>
        <w:widowControl/>
        <w:kinsoku/>
        <w:wordWrap/>
        <w:overflowPunct/>
        <w:topLinePunct w:val="0"/>
        <w:autoSpaceDE/>
        <w:autoSpaceDN/>
        <w:bidi w:val="0"/>
        <w:adjustRightInd/>
        <w:snapToGrid/>
        <w:spacing w:line="260" w:lineRule="auto"/>
        <w:ind w:left="420" w:leftChars="200"/>
        <w:textAlignment w:val="auto"/>
        <w:rPr>
          <w:rFonts w:hint="eastAsia"/>
          <w:b/>
          <w:bCs/>
          <w:i w:val="0"/>
          <w:iCs w:val="0"/>
          <w:sz w:val="20"/>
          <w:szCs w:val="20"/>
          <w:lang w:val="en-US" w:eastAsia="zh-CN"/>
        </w:rPr>
      </w:pPr>
      <w:r>
        <w:rPr>
          <w:rFonts w:hint="default"/>
          <w:b/>
          <w:bCs/>
          <w:sz w:val="20"/>
          <w:szCs w:val="20"/>
          <w:vertAlign w:val="baseline"/>
          <w:lang w:val="en-US" w:eastAsia="zh-CN"/>
        </w:rPr>
        <w:t>For LEO class SAN, EISREFSENS_</w:t>
      </w:r>
      <w:r>
        <w:rPr>
          <w:rFonts w:hint="eastAsia"/>
          <w:b/>
          <w:bCs/>
          <w:sz w:val="20"/>
          <w:szCs w:val="20"/>
          <w:vertAlign w:val="baseline"/>
          <w:lang w:val="en-US" w:eastAsia="zh-CN"/>
        </w:rPr>
        <w:t>5</w:t>
      </w:r>
      <w:r>
        <w:rPr>
          <w:rFonts w:hint="default"/>
          <w:b/>
          <w:bCs/>
          <w:sz w:val="20"/>
          <w:szCs w:val="20"/>
          <w:vertAlign w:val="baseline"/>
          <w:lang w:val="en-US" w:eastAsia="zh-CN"/>
        </w:rPr>
        <w:t>0M is an integer value in the range [-1</w:t>
      </w:r>
      <w:r>
        <w:rPr>
          <w:rFonts w:hint="eastAsia"/>
          <w:b/>
          <w:bCs/>
          <w:sz w:val="20"/>
          <w:szCs w:val="20"/>
          <w:vertAlign w:val="baseline"/>
          <w:lang w:val="en-US" w:eastAsia="zh-CN"/>
        </w:rPr>
        <w:t>51</w:t>
      </w:r>
      <w:r>
        <w:rPr>
          <w:rFonts w:hint="default"/>
          <w:b/>
          <w:bCs/>
          <w:sz w:val="20"/>
          <w:szCs w:val="20"/>
          <w:vertAlign w:val="baseline"/>
          <w:lang w:val="en-US" w:eastAsia="zh-CN"/>
        </w:rPr>
        <w:t>] to [-1</w:t>
      </w:r>
      <w:r>
        <w:rPr>
          <w:rFonts w:hint="eastAsia"/>
          <w:b/>
          <w:bCs/>
          <w:sz w:val="20"/>
          <w:szCs w:val="20"/>
          <w:vertAlign w:val="baseline"/>
          <w:lang w:val="en-US" w:eastAsia="zh-CN"/>
        </w:rPr>
        <w:t>59</w:t>
      </w:r>
      <w:r>
        <w:rPr>
          <w:rFonts w:hint="default"/>
          <w:b/>
          <w:bCs/>
          <w:sz w:val="20"/>
          <w:szCs w:val="20"/>
          <w:vertAlign w:val="baseline"/>
          <w:lang w:val="en-US" w:eastAsia="zh-CN"/>
        </w:rPr>
        <w:t>] dBm. The specific value is declared by the vendor.</w:t>
      </w:r>
    </w:p>
    <w:p>
      <w:pPr>
        <w:rPr>
          <w:rFonts w:hint="eastAsia"/>
          <w:b/>
          <w:bCs/>
          <w:sz w:val="20"/>
          <w:szCs w:val="20"/>
          <w:vertAlign w:val="baseline"/>
          <w:lang w:val="en-US" w:eastAsia="zh-CN"/>
        </w:rPr>
      </w:pPr>
      <w:r>
        <w:rPr>
          <w:rFonts w:hint="eastAsia"/>
          <w:b/>
          <w:bCs/>
          <w:i w:val="0"/>
          <w:iCs w:val="0"/>
          <w:sz w:val="20"/>
          <w:szCs w:val="20"/>
          <w:lang w:val="en-US" w:eastAsia="zh-CN"/>
        </w:rPr>
        <w:t xml:space="preserve">Proposal 3: It is proposed </w:t>
      </w:r>
      <w:r>
        <w:rPr>
          <w:rFonts w:hint="eastAsia"/>
          <w:b/>
          <w:bCs/>
          <w:sz w:val="20"/>
          <w:szCs w:val="20"/>
          <w:vertAlign w:val="baseline"/>
          <w:lang w:val="en-US" w:eastAsia="zh-CN"/>
        </w:rPr>
        <w:t>to reuse Δf</w:t>
      </w:r>
      <w:r>
        <w:rPr>
          <w:rFonts w:hint="eastAsia"/>
          <w:b/>
          <w:bCs/>
          <w:sz w:val="20"/>
          <w:szCs w:val="20"/>
          <w:vertAlign w:val="subscript"/>
          <w:lang w:val="en-US" w:eastAsia="zh-CN"/>
        </w:rPr>
        <w:t xml:space="preserve">OOB </w:t>
      </w:r>
      <w:r>
        <w:rPr>
          <w:rFonts w:hint="eastAsia"/>
          <w:b/>
          <w:bCs/>
          <w:sz w:val="20"/>
          <w:szCs w:val="20"/>
          <w:vertAlign w:val="baseline"/>
          <w:lang w:val="en-US" w:eastAsia="zh-CN"/>
        </w:rPr>
        <w:t>= 100 MHz for both FR1-NTN Ku bands and FR2-NTN Ku bands.</w:t>
      </w:r>
    </w:p>
    <w:p>
      <w:pPr>
        <w:rPr>
          <w:rFonts w:hint="eastAsia"/>
          <w:b/>
          <w:bCs/>
          <w:i w:val="0"/>
          <w:iCs w:val="0"/>
          <w:sz w:val="20"/>
          <w:szCs w:val="20"/>
          <w:lang w:val="en-US" w:eastAsia="zh-CN"/>
        </w:rPr>
      </w:pPr>
      <w:r>
        <w:rPr>
          <w:rFonts w:hint="eastAsia"/>
          <w:b/>
          <w:bCs/>
          <w:i w:val="0"/>
          <w:iCs w:val="0"/>
          <w:sz w:val="20"/>
          <w:szCs w:val="20"/>
          <w:lang w:val="en-US" w:eastAsia="zh-CN"/>
        </w:rPr>
        <w:t>Observation 1: For FRF=1, IOT @ 95% CDF is 25dB for GEO scenario.</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val="0"/>
        <w:keepLines w:val="0"/>
        <w:pageBreakBefore w:val="0"/>
        <w:widowControl w:val="0"/>
        <w:numPr>
          <w:ilvl w:val="0"/>
          <w:numId w:val="11"/>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eastAsia"/>
          <w:sz w:val="20"/>
          <w:szCs w:val="20"/>
          <w:lang w:val="en-US" w:eastAsia="zh-CN"/>
        </w:rPr>
        <w:t>RP-250799, Revised WID: Introduction of Ku bands for NR NTN, Intelsat et al.</w:t>
      </w:r>
    </w:p>
    <w:p>
      <w:pPr>
        <w:keepNext w:val="0"/>
        <w:keepLines w:val="0"/>
        <w:pageBreakBefore w:val="0"/>
        <w:widowControl w:val="0"/>
        <w:numPr>
          <w:ilvl w:val="0"/>
          <w:numId w:val="11"/>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r>
        <w:rPr>
          <w:rFonts w:hint="default"/>
          <w:color w:val="auto"/>
          <w:lang w:val="en-US" w:eastAsia="zh-CN"/>
        </w:rPr>
        <w:t>R4-250</w:t>
      </w:r>
      <w:r>
        <w:rPr>
          <w:rFonts w:hint="eastAsia"/>
          <w:color w:val="auto"/>
          <w:lang w:val="en-US" w:eastAsia="zh-CN"/>
        </w:rPr>
        <w:t>4720, Way Forward for [114bis][314] NR_NTN_Ku_Band_UE_SAN_RF, Moderator (CHTTL)</w:t>
      </w:r>
    </w:p>
    <w:p>
      <w:pPr>
        <w:keepNext w:val="0"/>
        <w:keepLines w:val="0"/>
        <w:pageBreakBefore w:val="0"/>
        <w:widowControl w:val="0"/>
        <w:numPr>
          <w:ilvl w:val="0"/>
          <w:numId w:val="11"/>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R4-2313996, WF on SAN RF, Ericsson, RAN4#108</w:t>
      </w:r>
    </w:p>
    <w:p>
      <w:pPr>
        <w:keepNext w:val="0"/>
        <w:keepLines w:val="0"/>
        <w:pageBreakBefore w:val="0"/>
        <w:widowControl w:val="0"/>
        <w:numPr>
          <w:ilvl w:val="0"/>
          <w:numId w:val="11"/>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R4-2309770, WF on above 10 GHz SAN RF requirements, CATT, RAN4#107</w:t>
      </w:r>
    </w:p>
    <w:p>
      <w:pPr>
        <w:keepNext w:val="0"/>
        <w:keepLines w:val="0"/>
        <w:pageBreakBefore w:val="0"/>
        <w:widowControl w:val="0"/>
        <w:numPr>
          <w:ilvl w:val="0"/>
          <w:numId w:val="11"/>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R4-2402520</w:t>
      </w:r>
      <w:r>
        <w:rPr>
          <w:rFonts w:hint="eastAsia" w:cs="Times New Roman"/>
          <w:b w:val="0"/>
          <w:bCs w:val="0"/>
          <w:color w:val="auto"/>
          <w:sz w:val="20"/>
          <w:szCs w:val="20"/>
          <w:highlight w:val="none"/>
          <w:lang w:val="en-US" w:eastAsia="zh-CN"/>
        </w:rPr>
        <w:t>, Further discussion on SAN RF requirements for NTN in Ka-band, ZTE Corporation</w:t>
      </w:r>
    </w:p>
    <w:p>
      <w:pPr>
        <w:keepNext w:val="0"/>
        <w:keepLines w:val="0"/>
        <w:pageBreakBefore w:val="0"/>
        <w:widowControl w:val="0"/>
        <w:numPr>
          <w:ilvl w:val="0"/>
          <w:numId w:val="11"/>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R4-2400041</w:t>
      </w:r>
      <w:r>
        <w:rPr>
          <w:rFonts w:hint="eastAsia" w:cs="Times New Roman"/>
          <w:b w:val="0"/>
          <w:bCs w:val="0"/>
          <w:color w:val="auto"/>
          <w:sz w:val="20"/>
          <w:szCs w:val="20"/>
          <w:highlight w:val="none"/>
          <w:lang w:val="en-US" w:eastAsia="zh-CN"/>
        </w:rPr>
        <w:t>, Further discussion on SAN RF requirements for above 10GHz bands, CATT</w:t>
      </w:r>
    </w:p>
    <w:p>
      <w:pPr>
        <w:keepNext/>
        <w:keepLines/>
        <w:pageBreakBefore w:val="0"/>
        <w:widowControl/>
        <w:numPr>
          <w:ilvl w:val="-1"/>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bookmarkStart w:id="8" w:name="_GoBack"/>
      <w:bookmarkEnd w:id="8"/>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PMingLiU">
    <w:altName w:val="PMingLiU-ExtB"/>
    <w:panose1 w:val="02020500000000000000"/>
    <w:charset w:val="88"/>
    <w:family w:val="roman"/>
    <w:pitch w:val="default"/>
    <w:sig w:usb0="00000000" w:usb1="00000000" w:usb2="00000016" w:usb3="00000000" w:csb0="00100001" w:csb1="00000000"/>
  </w:font>
  <w:font w:name="游明朝">
    <w:altName w:val="Yu Gothic"/>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PMingLiU-ExtB">
    <w:panose1 w:val="02020500000000000000"/>
    <w:charset w:val="88"/>
    <w:family w:val="auto"/>
    <w:pitch w:val="default"/>
    <w:sig w:usb0="8000002F" w:usb1="02000008" w:usb2="00000000" w:usb3="00000000" w:csb0="0010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2F73E4B"/>
    <w:multiLevelType w:val="multilevel"/>
    <w:tmpl w:val="12F73E4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lang w:val="en-GB"/>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5F723A5E"/>
    <w:multiLevelType w:val="singleLevel"/>
    <w:tmpl w:val="5F723A5E"/>
    <w:lvl w:ilvl="0" w:tentative="0">
      <w:start w:val="1"/>
      <w:numFmt w:val="decimal"/>
      <w:suff w:val="space"/>
      <w:lvlText w:val="[%1]"/>
      <w:lvlJc w:val="left"/>
    </w:lvl>
  </w:abstractNum>
  <w:abstractNum w:abstractNumId="9">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0">
    <w:nsid w:val="78A93F85"/>
    <w:multiLevelType w:val="multilevel"/>
    <w:tmpl w:val="78A93F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9"/>
  </w:num>
  <w:num w:numId="3">
    <w:abstractNumId w:val="7"/>
  </w:num>
  <w:num w:numId="4">
    <w:abstractNumId w:val="4"/>
  </w:num>
  <w:num w:numId="5">
    <w:abstractNumId w:val="5"/>
  </w:num>
  <w:num w:numId="6">
    <w:abstractNumId w:val="1"/>
  </w:num>
  <w:num w:numId="7">
    <w:abstractNumId w:val="0"/>
  </w:num>
  <w:num w:numId="8">
    <w:abstractNumId w:val="10"/>
  </w:num>
  <w:num w:numId="9">
    <w:abstractNumId w:val="3"/>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486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3E51BE"/>
    <w:rsid w:val="014A0623"/>
    <w:rsid w:val="01536583"/>
    <w:rsid w:val="0156475D"/>
    <w:rsid w:val="015D2CBC"/>
    <w:rsid w:val="015D3EF3"/>
    <w:rsid w:val="016112D3"/>
    <w:rsid w:val="0165788D"/>
    <w:rsid w:val="01764F01"/>
    <w:rsid w:val="018107C9"/>
    <w:rsid w:val="0183684B"/>
    <w:rsid w:val="01854FE9"/>
    <w:rsid w:val="018A47AD"/>
    <w:rsid w:val="018E207B"/>
    <w:rsid w:val="0190283E"/>
    <w:rsid w:val="019C544F"/>
    <w:rsid w:val="019D155B"/>
    <w:rsid w:val="01A428BB"/>
    <w:rsid w:val="01AE307F"/>
    <w:rsid w:val="01B35169"/>
    <w:rsid w:val="01C00B7B"/>
    <w:rsid w:val="01CA1BB3"/>
    <w:rsid w:val="01D00B7E"/>
    <w:rsid w:val="01D46B8D"/>
    <w:rsid w:val="01D67ABF"/>
    <w:rsid w:val="01D866D8"/>
    <w:rsid w:val="01E251A8"/>
    <w:rsid w:val="01E54210"/>
    <w:rsid w:val="01EE2663"/>
    <w:rsid w:val="01F90434"/>
    <w:rsid w:val="01FB366B"/>
    <w:rsid w:val="01FD3930"/>
    <w:rsid w:val="02024A92"/>
    <w:rsid w:val="02042B52"/>
    <w:rsid w:val="021B7C87"/>
    <w:rsid w:val="022D4A6E"/>
    <w:rsid w:val="023512AC"/>
    <w:rsid w:val="023B0A39"/>
    <w:rsid w:val="023C7725"/>
    <w:rsid w:val="023C78A7"/>
    <w:rsid w:val="023F3FD3"/>
    <w:rsid w:val="02444B7E"/>
    <w:rsid w:val="024A5964"/>
    <w:rsid w:val="024B023C"/>
    <w:rsid w:val="024D6B6A"/>
    <w:rsid w:val="024E43D4"/>
    <w:rsid w:val="02510B5E"/>
    <w:rsid w:val="02566C17"/>
    <w:rsid w:val="025C4BEF"/>
    <w:rsid w:val="026246A1"/>
    <w:rsid w:val="0262759F"/>
    <w:rsid w:val="02632182"/>
    <w:rsid w:val="02655431"/>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B0FBC"/>
    <w:rsid w:val="02AE6812"/>
    <w:rsid w:val="02B346E9"/>
    <w:rsid w:val="02D16C80"/>
    <w:rsid w:val="02DC3F9C"/>
    <w:rsid w:val="02E3105C"/>
    <w:rsid w:val="02E63DE2"/>
    <w:rsid w:val="02FB6CDA"/>
    <w:rsid w:val="03036B01"/>
    <w:rsid w:val="03052298"/>
    <w:rsid w:val="03073BDC"/>
    <w:rsid w:val="030A6B04"/>
    <w:rsid w:val="030B0647"/>
    <w:rsid w:val="030B2860"/>
    <w:rsid w:val="030C40C1"/>
    <w:rsid w:val="030D2F0B"/>
    <w:rsid w:val="03147E4E"/>
    <w:rsid w:val="03187492"/>
    <w:rsid w:val="031E429F"/>
    <w:rsid w:val="032F336F"/>
    <w:rsid w:val="03317AD0"/>
    <w:rsid w:val="033C68CE"/>
    <w:rsid w:val="033F734A"/>
    <w:rsid w:val="03403A5C"/>
    <w:rsid w:val="03445E8F"/>
    <w:rsid w:val="03496C64"/>
    <w:rsid w:val="035154D3"/>
    <w:rsid w:val="03527C38"/>
    <w:rsid w:val="0356746F"/>
    <w:rsid w:val="035909AA"/>
    <w:rsid w:val="0360259A"/>
    <w:rsid w:val="036522E7"/>
    <w:rsid w:val="036E37C2"/>
    <w:rsid w:val="03746F87"/>
    <w:rsid w:val="037C6EF7"/>
    <w:rsid w:val="03814F5B"/>
    <w:rsid w:val="038B3141"/>
    <w:rsid w:val="03A77DFA"/>
    <w:rsid w:val="03B339B1"/>
    <w:rsid w:val="03C05350"/>
    <w:rsid w:val="03C1287B"/>
    <w:rsid w:val="03C36B0E"/>
    <w:rsid w:val="03C528EA"/>
    <w:rsid w:val="03CF67FA"/>
    <w:rsid w:val="03E120EA"/>
    <w:rsid w:val="03E358F3"/>
    <w:rsid w:val="03E84DE8"/>
    <w:rsid w:val="03EC63CD"/>
    <w:rsid w:val="04030035"/>
    <w:rsid w:val="04142BDC"/>
    <w:rsid w:val="04242D1B"/>
    <w:rsid w:val="04251A4C"/>
    <w:rsid w:val="042D2E97"/>
    <w:rsid w:val="04305EA0"/>
    <w:rsid w:val="04310833"/>
    <w:rsid w:val="04343921"/>
    <w:rsid w:val="04346443"/>
    <w:rsid w:val="043865BF"/>
    <w:rsid w:val="043A14AD"/>
    <w:rsid w:val="043F36E4"/>
    <w:rsid w:val="044C78D8"/>
    <w:rsid w:val="04537B11"/>
    <w:rsid w:val="04557675"/>
    <w:rsid w:val="04684A28"/>
    <w:rsid w:val="046C0EAE"/>
    <w:rsid w:val="046F1CC5"/>
    <w:rsid w:val="04782230"/>
    <w:rsid w:val="0479507E"/>
    <w:rsid w:val="047B05A3"/>
    <w:rsid w:val="04894975"/>
    <w:rsid w:val="04922411"/>
    <w:rsid w:val="0492397B"/>
    <w:rsid w:val="04A65723"/>
    <w:rsid w:val="04B14B03"/>
    <w:rsid w:val="04CF6607"/>
    <w:rsid w:val="04D46535"/>
    <w:rsid w:val="04DA1A87"/>
    <w:rsid w:val="04DC0F32"/>
    <w:rsid w:val="04DC52CD"/>
    <w:rsid w:val="04DE2DA3"/>
    <w:rsid w:val="04DF3C0B"/>
    <w:rsid w:val="04EB6DF8"/>
    <w:rsid w:val="04FF1C94"/>
    <w:rsid w:val="04FF7D5A"/>
    <w:rsid w:val="0502349F"/>
    <w:rsid w:val="050C587A"/>
    <w:rsid w:val="050E7487"/>
    <w:rsid w:val="05161D2D"/>
    <w:rsid w:val="051B5DBA"/>
    <w:rsid w:val="0522500E"/>
    <w:rsid w:val="052E568F"/>
    <w:rsid w:val="05344105"/>
    <w:rsid w:val="053973F0"/>
    <w:rsid w:val="053E65E7"/>
    <w:rsid w:val="054B2F7A"/>
    <w:rsid w:val="0555228E"/>
    <w:rsid w:val="05595938"/>
    <w:rsid w:val="055A6B82"/>
    <w:rsid w:val="05636085"/>
    <w:rsid w:val="056D5BF6"/>
    <w:rsid w:val="057D1D66"/>
    <w:rsid w:val="059D265F"/>
    <w:rsid w:val="059E1515"/>
    <w:rsid w:val="05AD1B88"/>
    <w:rsid w:val="05B92EC1"/>
    <w:rsid w:val="05D05BD2"/>
    <w:rsid w:val="05DB542B"/>
    <w:rsid w:val="05E078B3"/>
    <w:rsid w:val="05E942A3"/>
    <w:rsid w:val="05EA759F"/>
    <w:rsid w:val="05EE6827"/>
    <w:rsid w:val="0601277E"/>
    <w:rsid w:val="060C5AED"/>
    <w:rsid w:val="06103146"/>
    <w:rsid w:val="06172561"/>
    <w:rsid w:val="061E54DA"/>
    <w:rsid w:val="061E5E22"/>
    <w:rsid w:val="06223FD1"/>
    <w:rsid w:val="062B2FCF"/>
    <w:rsid w:val="063F63E4"/>
    <w:rsid w:val="06460B91"/>
    <w:rsid w:val="0654187C"/>
    <w:rsid w:val="065475DE"/>
    <w:rsid w:val="06556C03"/>
    <w:rsid w:val="06676354"/>
    <w:rsid w:val="066E5330"/>
    <w:rsid w:val="0675668B"/>
    <w:rsid w:val="06782F84"/>
    <w:rsid w:val="067C28D6"/>
    <w:rsid w:val="068A55C2"/>
    <w:rsid w:val="068E06BC"/>
    <w:rsid w:val="069201CB"/>
    <w:rsid w:val="06956E2E"/>
    <w:rsid w:val="06AC7765"/>
    <w:rsid w:val="06B62C91"/>
    <w:rsid w:val="06B741D9"/>
    <w:rsid w:val="06B756E7"/>
    <w:rsid w:val="06C457B6"/>
    <w:rsid w:val="06CA5532"/>
    <w:rsid w:val="06CD4A70"/>
    <w:rsid w:val="06DF4C13"/>
    <w:rsid w:val="06E7678C"/>
    <w:rsid w:val="06EC7519"/>
    <w:rsid w:val="06F42A88"/>
    <w:rsid w:val="06F801C0"/>
    <w:rsid w:val="07072694"/>
    <w:rsid w:val="070E5E48"/>
    <w:rsid w:val="07105178"/>
    <w:rsid w:val="0712124C"/>
    <w:rsid w:val="07173A36"/>
    <w:rsid w:val="071C13A8"/>
    <w:rsid w:val="073D143C"/>
    <w:rsid w:val="074454BD"/>
    <w:rsid w:val="074855FD"/>
    <w:rsid w:val="07627CA0"/>
    <w:rsid w:val="076319C4"/>
    <w:rsid w:val="076925D2"/>
    <w:rsid w:val="077241E3"/>
    <w:rsid w:val="0781725F"/>
    <w:rsid w:val="07864B59"/>
    <w:rsid w:val="078C5933"/>
    <w:rsid w:val="078D336C"/>
    <w:rsid w:val="07971B3F"/>
    <w:rsid w:val="07983294"/>
    <w:rsid w:val="079B3BB0"/>
    <w:rsid w:val="079F1838"/>
    <w:rsid w:val="07A2030D"/>
    <w:rsid w:val="07A5677E"/>
    <w:rsid w:val="07B0676B"/>
    <w:rsid w:val="07B51934"/>
    <w:rsid w:val="07B9290D"/>
    <w:rsid w:val="07BE52B9"/>
    <w:rsid w:val="07C55A1A"/>
    <w:rsid w:val="07CB1347"/>
    <w:rsid w:val="07D57946"/>
    <w:rsid w:val="07ED524D"/>
    <w:rsid w:val="07F065BC"/>
    <w:rsid w:val="080124E3"/>
    <w:rsid w:val="08030E27"/>
    <w:rsid w:val="080C7FA0"/>
    <w:rsid w:val="080F0F47"/>
    <w:rsid w:val="08193C24"/>
    <w:rsid w:val="082A7098"/>
    <w:rsid w:val="08334B3D"/>
    <w:rsid w:val="08341060"/>
    <w:rsid w:val="08544B0A"/>
    <w:rsid w:val="08732D34"/>
    <w:rsid w:val="08787FF0"/>
    <w:rsid w:val="087C4B7B"/>
    <w:rsid w:val="08824DF0"/>
    <w:rsid w:val="0889002B"/>
    <w:rsid w:val="088F7D75"/>
    <w:rsid w:val="089B79D9"/>
    <w:rsid w:val="08A44DA6"/>
    <w:rsid w:val="08AA245A"/>
    <w:rsid w:val="08AD2ACC"/>
    <w:rsid w:val="08B76C9F"/>
    <w:rsid w:val="08BA6E24"/>
    <w:rsid w:val="08C024D5"/>
    <w:rsid w:val="08C562FD"/>
    <w:rsid w:val="08CA27B1"/>
    <w:rsid w:val="08E916DF"/>
    <w:rsid w:val="08F473EA"/>
    <w:rsid w:val="08FC0AA5"/>
    <w:rsid w:val="09077BA6"/>
    <w:rsid w:val="090E2F35"/>
    <w:rsid w:val="091B4FFA"/>
    <w:rsid w:val="092173F4"/>
    <w:rsid w:val="09262DE9"/>
    <w:rsid w:val="092F7300"/>
    <w:rsid w:val="09306537"/>
    <w:rsid w:val="09355076"/>
    <w:rsid w:val="09392119"/>
    <w:rsid w:val="09445E95"/>
    <w:rsid w:val="094C1D4E"/>
    <w:rsid w:val="09543B3B"/>
    <w:rsid w:val="09600FBD"/>
    <w:rsid w:val="09664528"/>
    <w:rsid w:val="0972595C"/>
    <w:rsid w:val="098143BC"/>
    <w:rsid w:val="098500F1"/>
    <w:rsid w:val="0992510E"/>
    <w:rsid w:val="09B33AE4"/>
    <w:rsid w:val="09BD407A"/>
    <w:rsid w:val="09BF125C"/>
    <w:rsid w:val="09C12CF5"/>
    <w:rsid w:val="09D948FE"/>
    <w:rsid w:val="09DA0E26"/>
    <w:rsid w:val="09DB6437"/>
    <w:rsid w:val="09E55691"/>
    <w:rsid w:val="09F23E40"/>
    <w:rsid w:val="09F67CD5"/>
    <w:rsid w:val="0A054821"/>
    <w:rsid w:val="0A077A43"/>
    <w:rsid w:val="0A0835C8"/>
    <w:rsid w:val="0A0C17EE"/>
    <w:rsid w:val="0A145721"/>
    <w:rsid w:val="0A355EAA"/>
    <w:rsid w:val="0A3708FF"/>
    <w:rsid w:val="0A3B01F9"/>
    <w:rsid w:val="0A3F0488"/>
    <w:rsid w:val="0A402A36"/>
    <w:rsid w:val="0A4236A3"/>
    <w:rsid w:val="0A4E7EF5"/>
    <w:rsid w:val="0A596130"/>
    <w:rsid w:val="0A627392"/>
    <w:rsid w:val="0A646846"/>
    <w:rsid w:val="0A6B3DAF"/>
    <w:rsid w:val="0A7B4D83"/>
    <w:rsid w:val="0A817CBD"/>
    <w:rsid w:val="0A8251CA"/>
    <w:rsid w:val="0A8828AB"/>
    <w:rsid w:val="0A927DC1"/>
    <w:rsid w:val="0A951165"/>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D25E6"/>
    <w:rsid w:val="0AFF6A66"/>
    <w:rsid w:val="0B007F7F"/>
    <w:rsid w:val="0B0130D7"/>
    <w:rsid w:val="0B0250FD"/>
    <w:rsid w:val="0B0C7017"/>
    <w:rsid w:val="0B0F025C"/>
    <w:rsid w:val="0B1A6333"/>
    <w:rsid w:val="0B267BFC"/>
    <w:rsid w:val="0B2713F4"/>
    <w:rsid w:val="0B334367"/>
    <w:rsid w:val="0B3B1BC1"/>
    <w:rsid w:val="0B3B5196"/>
    <w:rsid w:val="0B3D701F"/>
    <w:rsid w:val="0B3E7DD7"/>
    <w:rsid w:val="0B491629"/>
    <w:rsid w:val="0B4B40F9"/>
    <w:rsid w:val="0B554398"/>
    <w:rsid w:val="0B561995"/>
    <w:rsid w:val="0B5C2C2A"/>
    <w:rsid w:val="0B6148D2"/>
    <w:rsid w:val="0B665E0A"/>
    <w:rsid w:val="0B680DC4"/>
    <w:rsid w:val="0B7C0E60"/>
    <w:rsid w:val="0B847B39"/>
    <w:rsid w:val="0B987E20"/>
    <w:rsid w:val="0B9E71DF"/>
    <w:rsid w:val="0BA65BCD"/>
    <w:rsid w:val="0BAD5CC5"/>
    <w:rsid w:val="0BAD5EDC"/>
    <w:rsid w:val="0BAF59B9"/>
    <w:rsid w:val="0BB524B8"/>
    <w:rsid w:val="0BB756DF"/>
    <w:rsid w:val="0BC63DB2"/>
    <w:rsid w:val="0BCC4043"/>
    <w:rsid w:val="0BCC4B6A"/>
    <w:rsid w:val="0BE2291A"/>
    <w:rsid w:val="0C07043D"/>
    <w:rsid w:val="0C1E494F"/>
    <w:rsid w:val="0C3427D0"/>
    <w:rsid w:val="0C43327D"/>
    <w:rsid w:val="0C4426AF"/>
    <w:rsid w:val="0C453647"/>
    <w:rsid w:val="0C4577EC"/>
    <w:rsid w:val="0C4F3B0E"/>
    <w:rsid w:val="0C4F7881"/>
    <w:rsid w:val="0C5A77EA"/>
    <w:rsid w:val="0C5C6396"/>
    <w:rsid w:val="0C63431B"/>
    <w:rsid w:val="0C650A20"/>
    <w:rsid w:val="0C690EFA"/>
    <w:rsid w:val="0C6E11B8"/>
    <w:rsid w:val="0C723CD1"/>
    <w:rsid w:val="0C7C294A"/>
    <w:rsid w:val="0C825F28"/>
    <w:rsid w:val="0C89028B"/>
    <w:rsid w:val="0C8B63A3"/>
    <w:rsid w:val="0CAD07AE"/>
    <w:rsid w:val="0CB94808"/>
    <w:rsid w:val="0CC146A9"/>
    <w:rsid w:val="0CC37BC2"/>
    <w:rsid w:val="0CD87ABE"/>
    <w:rsid w:val="0CE26C42"/>
    <w:rsid w:val="0CE632FF"/>
    <w:rsid w:val="0CE76B48"/>
    <w:rsid w:val="0CEB5DBE"/>
    <w:rsid w:val="0CFB523A"/>
    <w:rsid w:val="0D074D4A"/>
    <w:rsid w:val="0D0A3371"/>
    <w:rsid w:val="0D0C5764"/>
    <w:rsid w:val="0D1B1E9C"/>
    <w:rsid w:val="0D1C2E6E"/>
    <w:rsid w:val="0D2A296F"/>
    <w:rsid w:val="0D4B44A1"/>
    <w:rsid w:val="0D6811B4"/>
    <w:rsid w:val="0D6E2620"/>
    <w:rsid w:val="0D704E21"/>
    <w:rsid w:val="0D7F48FE"/>
    <w:rsid w:val="0D883C88"/>
    <w:rsid w:val="0D8A6002"/>
    <w:rsid w:val="0D9074CF"/>
    <w:rsid w:val="0D936E72"/>
    <w:rsid w:val="0D966BF7"/>
    <w:rsid w:val="0D9D6D94"/>
    <w:rsid w:val="0DB54F84"/>
    <w:rsid w:val="0DB84465"/>
    <w:rsid w:val="0DCC3AE8"/>
    <w:rsid w:val="0DD87842"/>
    <w:rsid w:val="0DDB2C34"/>
    <w:rsid w:val="0DDE2885"/>
    <w:rsid w:val="0DEF012A"/>
    <w:rsid w:val="0DF202E1"/>
    <w:rsid w:val="0DF53CE3"/>
    <w:rsid w:val="0E0961C5"/>
    <w:rsid w:val="0E0C6AA6"/>
    <w:rsid w:val="0E147898"/>
    <w:rsid w:val="0E264DDB"/>
    <w:rsid w:val="0E2F216B"/>
    <w:rsid w:val="0E327317"/>
    <w:rsid w:val="0E3352C6"/>
    <w:rsid w:val="0E3A5EE2"/>
    <w:rsid w:val="0E542F3B"/>
    <w:rsid w:val="0E5757F7"/>
    <w:rsid w:val="0E591BF0"/>
    <w:rsid w:val="0E6271DF"/>
    <w:rsid w:val="0E6438B9"/>
    <w:rsid w:val="0E78367D"/>
    <w:rsid w:val="0E81568A"/>
    <w:rsid w:val="0E903E3B"/>
    <w:rsid w:val="0E942250"/>
    <w:rsid w:val="0E963344"/>
    <w:rsid w:val="0E9E6E00"/>
    <w:rsid w:val="0EA40C1C"/>
    <w:rsid w:val="0EAA759E"/>
    <w:rsid w:val="0EAF381F"/>
    <w:rsid w:val="0EB72E4B"/>
    <w:rsid w:val="0ECE6156"/>
    <w:rsid w:val="0EEC6F1D"/>
    <w:rsid w:val="0F027B32"/>
    <w:rsid w:val="0F0621F6"/>
    <w:rsid w:val="0F103291"/>
    <w:rsid w:val="0F15660A"/>
    <w:rsid w:val="0F1D0EA6"/>
    <w:rsid w:val="0F1D498B"/>
    <w:rsid w:val="0F22242C"/>
    <w:rsid w:val="0F337178"/>
    <w:rsid w:val="0F3374FC"/>
    <w:rsid w:val="0F3B15FC"/>
    <w:rsid w:val="0F41022A"/>
    <w:rsid w:val="0F56743B"/>
    <w:rsid w:val="0F60682C"/>
    <w:rsid w:val="0F661944"/>
    <w:rsid w:val="0F6763D9"/>
    <w:rsid w:val="0F715B2B"/>
    <w:rsid w:val="0F744211"/>
    <w:rsid w:val="0F764270"/>
    <w:rsid w:val="0F7F273F"/>
    <w:rsid w:val="0F7F7919"/>
    <w:rsid w:val="0F8418ED"/>
    <w:rsid w:val="0F8B3A90"/>
    <w:rsid w:val="0F957B47"/>
    <w:rsid w:val="0F98796C"/>
    <w:rsid w:val="0F9F6FA4"/>
    <w:rsid w:val="0FA20284"/>
    <w:rsid w:val="0FA65D5C"/>
    <w:rsid w:val="0FAA75F1"/>
    <w:rsid w:val="0FAD33DA"/>
    <w:rsid w:val="0FAD71D4"/>
    <w:rsid w:val="0FBE2A42"/>
    <w:rsid w:val="0FC17CCE"/>
    <w:rsid w:val="0FC424B9"/>
    <w:rsid w:val="0FCB3854"/>
    <w:rsid w:val="0FCC3C6A"/>
    <w:rsid w:val="0FD576BA"/>
    <w:rsid w:val="0FD70565"/>
    <w:rsid w:val="0FE928D1"/>
    <w:rsid w:val="0FEC680C"/>
    <w:rsid w:val="0FFD688F"/>
    <w:rsid w:val="0FFF0BF3"/>
    <w:rsid w:val="10007AD6"/>
    <w:rsid w:val="100B6FC1"/>
    <w:rsid w:val="101B1E8A"/>
    <w:rsid w:val="101C4A03"/>
    <w:rsid w:val="101D0C86"/>
    <w:rsid w:val="10320BC0"/>
    <w:rsid w:val="104A023B"/>
    <w:rsid w:val="104B6A1B"/>
    <w:rsid w:val="10501493"/>
    <w:rsid w:val="10505F3B"/>
    <w:rsid w:val="10677613"/>
    <w:rsid w:val="106D2686"/>
    <w:rsid w:val="107407B6"/>
    <w:rsid w:val="107C3E2C"/>
    <w:rsid w:val="107D41AE"/>
    <w:rsid w:val="108C2479"/>
    <w:rsid w:val="10984D7F"/>
    <w:rsid w:val="10B3132B"/>
    <w:rsid w:val="10C715C5"/>
    <w:rsid w:val="10D335EF"/>
    <w:rsid w:val="10E255A6"/>
    <w:rsid w:val="10E746EA"/>
    <w:rsid w:val="10E83FE0"/>
    <w:rsid w:val="10EC3168"/>
    <w:rsid w:val="10F02A44"/>
    <w:rsid w:val="10F52718"/>
    <w:rsid w:val="10F70AE6"/>
    <w:rsid w:val="11123EF8"/>
    <w:rsid w:val="11124F2E"/>
    <w:rsid w:val="11125358"/>
    <w:rsid w:val="111F38A5"/>
    <w:rsid w:val="111F6CBE"/>
    <w:rsid w:val="112D2A42"/>
    <w:rsid w:val="113A22DB"/>
    <w:rsid w:val="114028DC"/>
    <w:rsid w:val="11441C15"/>
    <w:rsid w:val="11583891"/>
    <w:rsid w:val="1159252B"/>
    <w:rsid w:val="115D3400"/>
    <w:rsid w:val="1160765D"/>
    <w:rsid w:val="116F1EB0"/>
    <w:rsid w:val="11727495"/>
    <w:rsid w:val="117A242E"/>
    <w:rsid w:val="117B1D6A"/>
    <w:rsid w:val="117C2D9D"/>
    <w:rsid w:val="117F159E"/>
    <w:rsid w:val="11821DC9"/>
    <w:rsid w:val="11824A0F"/>
    <w:rsid w:val="11897A08"/>
    <w:rsid w:val="11921373"/>
    <w:rsid w:val="119A72EE"/>
    <w:rsid w:val="119B63D1"/>
    <w:rsid w:val="119D7849"/>
    <w:rsid w:val="11A615EE"/>
    <w:rsid w:val="11A658F4"/>
    <w:rsid w:val="11B16FA5"/>
    <w:rsid w:val="11B91A57"/>
    <w:rsid w:val="11BA3FAE"/>
    <w:rsid w:val="11C67B8F"/>
    <w:rsid w:val="11CE730E"/>
    <w:rsid w:val="11D815C4"/>
    <w:rsid w:val="11D85BD5"/>
    <w:rsid w:val="11E57D4F"/>
    <w:rsid w:val="11EE7275"/>
    <w:rsid w:val="11F40833"/>
    <w:rsid w:val="11F92DAB"/>
    <w:rsid w:val="11FB6DE4"/>
    <w:rsid w:val="11FC38D5"/>
    <w:rsid w:val="11FD37F5"/>
    <w:rsid w:val="120F1E38"/>
    <w:rsid w:val="1210682D"/>
    <w:rsid w:val="122215D3"/>
    <w:rsid w:val="122510AD"/>
    <w:rsid w:val="122F0F93"/>
    <w:rsid w:val="123A05DB"/>
    <w:rsid w:val="124240B9"/>
    <w:rsid w:val="12491684"/>
    <w:rsid w:val="124D0988"/>
    <w:rsid w:val="124E44B4"/>
    <w:rsid w:val="126532DD"/>
    <w:rsid w:val="12680E73"/>
    <w:rsid w:val="12763466"/>
    <w:rsid w:val="127C144F"/>
    <w:rsid w:val="127E5AA6"/>
    <w:rsid w:val="12811F99"/>
    <w:rsid w:val="128645EB"/>
    <w:rsid w:val="128B2749"/>
    <w:rsid w:val="128E1E81"/>
    <w:rsid w:val="129019B5"/>
    <w:rsid w:val="129811DB"/>
    <w:rsid w:val="129937EE"/>
    <w:rsid w:val="129E6282"/>
    <w:rsid w:val="129F3A3A"/>
    <w:rsid w:val="12AA7237"/>
    <w:rsid w:val="12AB7A32"/>
    <w:rsid w:val="12BB6535"/>
    <w:rsid w:val="12BF2501"/>
    <w:rsid w:val="12C7312B"/>
    <w:rsid w:val="12D22971"/>
    <w:rsid w:val="12D469A6"/>
    <w:rsid w:val="12D85654"/>
    <w:rsid w:val="12DF4A87"/>
    <w:rsid w:val="12E265EC"/>
    <w:rsid w:val="12E706B5"/>
    <w:rsid w:val="12EE5106"/>
    <w:rsid w:val="12F777F2"/>
    <w:rsid w:val="1307341C"/>
    <w:rsid w:val="130C40FE"/>
    <w:rsid w:val="130E3629"/>
    <w:rsid w:val="13125197"/>
    <w:rsid w:val="131B39DD"/>
    <w:rsid w:val="13283BA4"/>
    <w:rsid w:val="13332F77"/>
    <w:rsid w:val="13334E1C"/>
    <w:rsid w:val="13346EE4"/>
    <w:rsid w:val="13384952"/>
    <w:rsid w:val="1355107F"/>
    <w:rsid w:val="135D4D2E"/>
    <w:rsid w:val="1366638D"/>
    <w:rsid w:val="1369011A"/>
    <w:rsid w:val="136D76E8"/>
    <w:rsid w:val="137266E0"/>
    <w:rsid w:val="13811975"/>
    <w:rsid w:val="138559AC"/>
    <w:rsid w:val="138F3C22"/>
    <w:rsid w:val="139D3156"/>
    <w:rsid w:val="13A50F41"/>
    <w:rsid w:val="13A825CD"/>
    <w:rsid w:val="13AA5FA1"/>
    <w:rsid w:val="13B324EF"/>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2E194A"/>
    <w:rsid w:val="14355342"/>
    <w:rsid w:val="144C1C02"/>
    <w:rsid w:val="144D63F0"/>
    <w:rsid w:val="145103FA"/>
    <w:rsid w:val="145F07C7"/>
    <w:rsid w:val="14601908"/>
    <w:rsid w:val="14632D00"/>
    <w:rsid w:val="146B69A8"/>
    <w:rsid w:val="146C5189"/>
    <w:rsid w:val="146F1089"/>
    <w:rsid w:val="14816B50"/>
    <w:rsid w:val="148313F4"/>
    <w:rsid w:val="14843909"/>
    <w:rsid w:val="1485665F"/>
    <w:rsid w:val="14934F1A"/>
    <w:rsid w:val="149559C4"/>
    <w:rsid w:val="14994763"/>
    <w:rsid w:val="149D71D6"/>
    <w:rsid w:val="149E3770"/>
    <w:rsid w:val="14A13FBC"/>
    <w:rsid w:val="14A67171"/>
    <w:rsid w:val="14AA71CB"/>
    <w:rsid w:val="14AC0C32"/>
    <w:rsid w:val="14B2463E"/>
    <w:rsid w:val="14B57287"/>
    <w:rsid w:val="14B602D5"/>
    <w:rsid w:val="14C45576"/>
    <w:rsid w:val="14C76D6C"/>
    <w:rsid w:val="14CD2018"/>
    <w:rsid w:val="14CE33C4"/>
    <w:rsid w:val="14D60E60"/>
    <w:rsid w:val="14DA3DA1"/>
    <w:rsid w:val="14E60B42"/>
    <w:rsid w:val="14E75E9B"/>
    <w:rsid w:val="14EA1C4D"/>
    <w:rsid w:val="14ED27DF"/>
    <w:rsid w:val="14EF0267"/>
    <w:rsid w:val="14FB736A"/>
    <w:rsid w:val="150222BF"/>
    <w:rsid w:val="150F7C33"/>
    <w:rsid w:val="151178FC"/>
    <w:rsid w:val="1515004B"/>
    <w:rsid w:val="151B7C99"/>
    <w:rsid w:val="15207BBA"/>
    <w:rsid w:val="15222DA1"/>
    <w:rsid w:val="15256B65"/>
    <w:rsid w:val="152F4E1B"/>
    <w:rsid w:val="1546665E"/>
    <w:rsid w:val="154806E1"/>
    <w:rsid w:val="154D342A"/>
    <w:rsid w:val="15581ED5"/>
    <w:rsid w:val="1559587F"/>
    <w:rsid w:val="155E7DEC"/>
    <w:rsid w:val="15740334"/>
    <w:rsid w:val="1574662E"/>
    <w:rsid w:val="15751882"/>
    <w:rsid w:val="1575191B"/>
    <w:rsid w:val="157818C6"/>
    <w:rsid w:val="1596622F"/>
    <w:rsid w:val="159F73BB"/>
    <w:rsid w:val="15B03F28"/>
    <w:rsid w:val="15C15E25"/>
    <w:rsid w:val="15C42571"/>
    <w:rsid w:val="15E30A80"/>
    <w:rsid w:val="15F21B9E"/>
    <w:rsid w:val="15FD2FA2"/>
    <w:rsid w:val="16021A7C"/>
    <w:rsid w:val="1608480E"/>
    <w:rsid w:val="161C1C58"/>
    <w:rsid w:val="162B27CD"/>
    <w:rsid w:val="162D7415"/>
    <w:rsid w:val="162F7556"/>
    <w:rsid w:val="16347AD6"/>
    <w:rsid w:val="163814FD"/>
    <w:rsid w:val="163A6AD4"/>
    <w:rsid w:val="16413A3A"/>
    <w:rsid w:val="1644500C"/>
    <w:rsid w:val="16461A95"/>
    <w:rsid w:val="16594F06"/>
    <w:rsid w:val="165A38E6"/>
    <w:rsid w:val="166C5DB6"/>
    <w:rsid w:val="166F5E80"/>
    <w:rsid w:val="16766A92"/>
    <w:rsid w:val="167A52A9"/>
    <w:rsid w:val="167B20D8"/>
    <w:rsid w:val="167B7B40"/>
    <w:rsid w:val="167C6594"/>
    <w:rsid w:val="16833ACA"/>
    <w:rsid w:val="16866882"/>
    <w:rsid w:val="16872167"/>
    <w:rsid w:val="16895E32"/>
    <w:rsid w:val="168F3273"/>
    <w:rsid w:val="168F69F2"/>
    <w:rsid w:val="169865AE"/>
    <w:rsid w:val="169C7FDE"/>
    <w:rsid w:val="16A4319F"/>
    <w:rsid w:val="16AC4DDB"/>
    <w:rsid w:val="16AE2FE3"/>
    <w:rsid w:val="16B23908"/>
    <w:rsid w:val="16B4400E"/>
    <w:rsid w:val="16C16240"/>
    <w:rsid w:val="16C71372"/>
    <w:rsid w:val="16C739DF"/>
    <w:rsid w:val="16C86CDB"/>
    <w:rsid w:val="16DD3B26"/>
    <w:rsid w:val="16E73506"/>
    <w:rsid w:val="16EB6E00"/>
    <w:rsid w:val="16EE7649"/>
    <w:rsid w:val="16F04615"/>
    <w:rsid w:val="16FD2447"/>
    <w:rsid w:val="17031772"/>
    <w:rsid w:val="1712339A"/>
    <w:rsid w:val="17126131"/>
    <w:rsid w:val="171E63FC"/>
    <w:rsid w:val="1722504D"/>
    <w:rsid w:val="17306175"/>
    <w:rsid w:val="1738730F"/>
    <w:rsid w:val="17416499"/>
    <w:rsid w:val="17481B81"/>
    <w:rsid w:val="17481E8B"/>
    <w:rsid w:val="174A69B0"/>
    <w:rsid w:val="175007ED"/>
    <w:rsid w:val="175D7538"/>
    <w:rsid w:val="17605E9B"/>
    <w:rsid w:val="17611CB8"/>
    <w:rsid w:val="176B45C6"/>
    <w:rsid w:val="176C447F"/>
    <w:rsid w:val="17850F99"/>
    <w:rsid w:val="17875303"/>
    <w:rsid w:val="178815C4"/>
    <w:rsid w:val="17891C0B"/>
    <w:rsid w:val="178F2F4E"/>
    <w:rsid w:val="1793626E"/>
    <w:rsid w:val="17991452"/>
    <w:rsid w:val="17A64F51"/>
    <w:rsid w:val="17A712F0"/>
    <w:rsid w:val="17A875F5"/>
    <w:rsid w:val="17B5256D"/>
    <w:rsid w:val="17B52BE2"/>
    <w:rsid w:val="17B92501"/>
    <w:rsid w:val="17C809DF"/>
    <w:rsid w:val="17DE2FB7"/>
    <w:rsid w:val="17E47B20"/>
    <w:rsid w:val="17E65848"/>
    <w:rsid w:val="17E66DD8"/>
    <w:rsid w:val="17E84839"/>
    <w:rsid w:val="17EE1403"/>
    <w:rsid w:val="17F25234"/>
    <w:rsid w:val="17F33DC6"/>
    <w:rsid w:val="17F45149"/>
    <w:rsid w:val="17FD061B"/>
    <w:rsid w:val="17FD20FD"/>
    <w:rsid w:val="17FE30DF"/>
    <w:rsid w:val="17FF6314"/>
    <w:rsid w:val="18005F41"/>
    <w:rsid w:val="18025414"/>
    <w:rsid w:val="18171305"/>
    <w:rsid w:val="1820454C"/>
    <w:rsid w:val="1829280B"/>
    <w:rsid w:val="18326934"/>
    <w:rsid w:val="18334194"/>
    <w:rsid w:val="183E1D37"/>
    <w:rsid w:val="1840126B"/>
    <w:rsid w:val="1846724A"/>
    <w:rsid w:val="184A22E6"/>
    <w:rsid w:val="184D0787"/>
    <w:rsid w:val="185D1883"/>
    <w:rsid w:val="185E3AA1"/>
    <w:rsid w:val="185F15CF"/>
    <w:rsid w:val="18717152"/>
    <w:rsid w:val="18812331"/>
    <w:rsid w:val="18816F1C"/>
    <w:rsid w:val="18847050"/>
    <w:rsid w:val="18853F3E"/>
    <w:rsid w:val="188F3639"/>
    <w:rsid w:val="189252B6"/>
    <w:rsid w:val="18956393"/>
    <w:rsid w:val="189C5943"/>
    <w:rsid w:val="18A8582C"/>
    <w:rsid w:val="18B50543"/>
    <w:rsid w:val="18CA40C3"/>
    <w:rsid w:val="18CD7A02"/>
    <w:rsid w:val="18D904AC"/>
    <w:rsid w:val="18DC1AEF"/>
    <w:rsid w:val="18DF5689"/>
    <w:rsid w:val="18F74015"/>
    <w:rsid w:val="19001FFC"/>
    <w:rsid w:val="19083894"/>
    <w:rsid w:val="190E2B4A"/>
    <w:rsid w:val="190E7235"/>
    <w:rsid w:val="19256D7A"/>
    <w:rsid w:val="193275C2"/>
    <w:rsid w:val="19342CF4"/>
    <w:rsid w:val="193A500F"/>
    <w:rsid w:val="193B3E86"/>
    <w:rsid w:val="19463A75"/>
    <w:rsid w:val="194D2005"/>
    <w:rsid w:val="19520B39"/>
    <w:rsid w:val="19642AC5"/>
    <w:rsid w:val="19655A52"/>
    <w:rsid w:val="19663168"/>
    <w:rsid w:val="197724BD"/>
    <w:rsid w:val="19786B0A"/>
    <w:rsid w:val="198A41A1"/>
    <w:rsid w:val="199A2059"/>
    <w:rsid w:val="19AE76C7"/>
    <w:rsid w:val="19B46E10"/>
    <w:rsid w:val="19C456C1"/>
    <w:rsid w:val="19E24986"/>
    <w:rsid w:val="19E256B5"/>
    <w:rsid w:val="19E54655"/>
    <w:rsid w:val="19F061A1"/>
    <w:rsid w:val="19F81E45"/>
    <w:rsid w:val="1A054259"/>
    <w:rsid w:val="1A081816"/>
    <w:rsid w:val="1A0C5680"/>
    <w:rsid w:val="1A165171"/>
    <w:rsid w:val="1A3068A4"/>
    <w:rsid w:val="1A410451"/>
    <w:rsid w:val="1A4858FF"/>
    <w:rsid w:val="1A4C698A"/>
    <w:rsid w:val="1A4D778D"/>
    <w:rsid w:val="1A5D5219"/>
    <w:rsid w:val="1A5E4B5A"/>
    <w:rsid w:val="1A672B1C"/>
    <w:rsid w:val="1A7070DD"/>
    <w:rsid w:val="1A805F1C"/>
    <w:rsid w:val="1A8301C0"/>
    <w:rsid w:val="1A872248"/>
    <w:rsid w:val="1A8824C5"/>
    <w:rsid w:val="1A9B2279"/>
    <w:rsid w:val="1A9D1677"/>
    <w:rsid w:val="1A9E6232"/>
    <w:rsid w:val="1AA57BA7"/>
    <w:rsid w:val="1AA74D3D"/>
    <w:rsid w:val="1AB34DB4"/>
    <w:rsid w:val="1AB613FD"/>
    <w:rsid w:val="1AB64B19"/>
    <w:rsid w:val="1AB73747"/>
    <w:rsid w:val="1AC03C10"/>
    <w:rsid w:val="1ACF5EB8"/>
    <w:rsid w:val="1AD26086"/>
    <w:rsid w:val="1ADD5ACE"/>
    <w:rsid w:val="1AE013F8"/>
    <w:rsid w:val="1AE8570C"/>
    <w:rsid w:val="1AF7297B"/>
    <w:rsid w:val="1AF97DCC"/>
    <w:rsid w:val="1AFB06A3"/>
    <w:rsid w:val="1B062896"/>
    <w:rsid w:val="1B0F19AE"/>
    <w:rsid w:val="1B141BBC"/>
    <w:rsid w:val="1B2160BB"/>
    <w:rsid w:val="1B3637AD"/>
    <w:rsid w:val="1B3E0DB5"/>
    <w:rsid w:val="1B454C94"/>
    <w:rsid w:val="1B454E69"/>
    <w:rsid w:val="1B5C1145"/>
    <w:rsid w:val="1B5D79CB"/>
    <w:rsid w:val="1B6B769D"/>
    <w:rsid w:val="1B6C0DF0"/>
    <w:rsid w:val="1B7F6005"/>
    <w:rsid w:val="1B874E63"/>
    <w:rsid w:val="1B9C269A"/>
    <w:rsid w:val="1B9D47B8"/>
    <w:rsid w:val="1B9E64C5"/>
    <w:rsid w:val="1B9E6D4C"/>
    <w:rsid w:val="1BB07CEA"/>
    <w:rsid w:val="1BB371BF"/>
    <w:rsid w:val="1BBD43BA"/>
    <w:rsid w:val="1BC01115"/>
    <w:rsid w:val="1BC44015"/>
    <w:rsid w:val="1BC96DA5"/>
    <w:rsid w:val="1BCA6284"/>
    <w:rsid w:val="1BCC6C47"/>
    <w:rsid w:val="1BE32C74"/>
    <w:rsid w:val="1BF72906"/>
    <w:rsid w:val="1BFB481C"/>
    <w:rsid w:val="1BFE5FF9"/>
    <w:rsid w:val="1BFE7B2D"/>
    <w:rsid w:val="1C013494"/>
    <w:rsid w:val="1C053414"/>
    <w:rsid w:val="1C132CB9"/>
    <w:rsid w:val="1C1642A1"/>
    <w:rsid w:val="1C2146C5"/>
    <w:rsid w:val="1C240174"/>
    <w:rsid w:val="1C273D33"/>
    <w:rsid w:val="1C4032AB"/>
    <w:rsid w:val="1C4672ED"/>
    <w:rsid w:val="1C467AB6"/>
    <w:rsid w:val="1C591347"/>
    <w:rsid w:val="1C6277A9"/>
    <w:rsid w:val="1C750818"/>
    <w:rsid w:val="1C7F54CE"/>
    <w:rsid w:val="1C7F743F"/>
    <w:rsid w:val="1C8C4AA9"/>
    <w:rsid w:val="1C8C604B"/>
    <w:rsid w:val="1C8F53D9"/>
    <w:rsid w:val="1C92160B"/>
    <w:rsid w:val="1C973EEF"/>
    <w:rsid w:val="1CA03243"/>
    <w:rsid w:val="1CAC112E"/>
    <w:rsid w:val="1CAF5DB2"/>
    <w:rsid w:val="1CB40DF1"/>
    <w:rsid w:val="1CB86812"/>
    <w:rsid w:val="1CC11084"/>
    <w:rsid w:val="1CC71DD3"/>
    <w:rsid w:val="1CCC26CA"/>
    <w:rsid w:val="1CD2156B"/>
    <w:rsid w:val="1CD41743"/>
    <w:rsid w:val="1CD44D3D"/>
    <w:rsid w:val="1CD77F43"/>
    <w:rsid w:val="1CE45EF5"/>
    <w:rsid w:val="1CE615C9"/>
    <w:rsid w:val="1CED1E7E"/>
    <w:rsid w:val="1D0321AE"/>
    <w:rsid w:val="1D037029"/>
    <w:rsid w:val="1D0A6B98"/>
    <w:rsid w:val="1D227612"/>
    <w:rsid w:val="1D3305FF"/>
    <w:rsid w:val="1D395282"/>
    <w:rsid w:val="1D4251BA"/>
    <w:rsid w:val="1D5B2FF2"/>
    <w:rsid w:val="1D5F5386"/>
    <w:rsid w:val="1D614BDA"/>
    <w:rsid w:val="1D6945F9"/>
    <w:rsid w:val="1D70348C"/>
    <w:rsid w:val="1D7072CE"/>
    <w:rsid w:val="1D794A16"/>
    <w:rsid w:val="1D80759A"/>
    <w:rsid w:val="1D8A021B"/>
    <w:rsid w:val="1D9E30A9"/>
    <w:rsid w:val="1DAB1006"/>
    <w:rsid w:val="1DAB2A0A"/>
    <w:rsid w:val="1DB33C11"/>
    <w:rsid w:val="1DC65562"/>
    <w:rsid w:val="1DD34749"/>
    <w:rsid w:val="1DDD201B"/>
    <w:rsid w:val="1DE94164"/>
    <w:rsid w:val="1DEE1B11"/>
    <w:rsid w:val="1E105A20"/>
    <w:rsid w:val="1E164B52"/>
    <w:rsid w:val="1E26583C"/>
    <w:rsid w:val="1E273844"/>
    <w:rsid w:val="1E2F243E"/>
    <w:rsid w:val="1E3B4F6B"/>
    <w:rsid w:val="1E3F5617"/>
    <w:rsid w:val="1E455D19"/>
    <w:rsid w:val="1E595CAF"/>
    <w:rsid w:val="1E5C31E8"/>
    <w:rsid w:val="1E6607F9"/>
    <w:rsid w:val="1E691070"/>
    <w:rsid w:val="1E7E6BFD"/>
    <w:rsid w:val="1E805396"/>
    <w:rsid w:val="1E821B53"/>
    <w:rsid w:val="1E884F62"/>
    <w:rsid w:val="1E8D685D"/>
    <w:rsid w:val="1E984238"/>
    <w:rsid w:val="1E9D6342"/>
    <w:rsid w:val="1E9D6D15"/>
    <w:rsid w:val="1EA7402F"/>
    <w:rsid w:val="1EA77730"/>
    <w:rsid w:val="1EA80D43"/>
    <w:rsid w:val="1EBC3647"/>
    <w:rsid w:val="1EBD1EAD"/>
    <w:rsid w:val="1EC36E9D"/>
    <w:rsid w:val="1EE25FDD"/>
    <w:rsid w:val="1EEF7878"/>
    <w:rsid w:val="1EF5103F"/>
    <w:rsid w:val="1EF86BDC"/>
    <w:rsid w:val="1EFF621F"/>
    <w:rsid w:val="1F001DEB"/>
    <w:rsid w:val="1F090F9B"/>
    <w:rsid w:val="1F0A0088"/>
    <w:rsid w:val="1F0E5D6B"/>
    <w:rsid w:val="1F0F2943"/>
    <w:rsid w:val="1F1420D0"/>
    <w:rsid w:val="1F194C88"/>
    <w:rsid w:val="1F323C57"/>
    <w:rsid w:val="1F343977"/>
    <w:rsid w:val="1F3E662A"/>
    <w:rsid w:val="1F4D4715"/>
    <w:rsid w:val="1F4F2219"/>
    <w:rsid w:val="1F614D01"/>
    <w:rsid w:val="1F721405"/>
    <w:rsid w:val="1F935819"/>
    <w:rsid w:val="1FA036A3"/>
    <w:rsid w:val="1FA628A2"/>
    <w:rsid w:val="1FA6556D"/>
    <w:rsid w:val="1FA70AD8"/>
    <w:rsid w:val="1FAF2571"/>
    <w:rsid w:val="1FB33036"/>
    <w:rsid w:val="1FC55EDA"/>
    <w:rsid w:val="1FC658C9"/>
    <w:rsid w:val="1FCE593C"/>
    <w:rsid w:val="1FE312AC"/>
    <w:rsid w:val="1FEC5915"/>
    <w:rsid w:val="1FED32EF"/>
    <w:rsid w:val="1FF82884"/>
    <w:rsid w:val="201E6D7C"/>
    <w:rsid w:val="20446081"/>
    <w:rsid w:val="204852AD"/>
    <w:rsid w:val="204A5E48"/>
    <w:rsid w:val="204A6449"/>
    <w:rsid w:val="204E6676"/>
    <w:rsid w:val="20580C17"/>
    <w:rsid w:val="20595924"/>
    <w:rsid w:val="205A5AA0"/>
    <w:rsid w:val="206408C4"/>
    <w:rsid w:val="20773A28"/>
    <w:rsid w:val="208574F4"/>
    <w:rsid w:val="20872047"/>
    <w:rsid w:val="208C4449"/>
    <w:rsid w:val="208F6BAF"/>
    <w:rsid w:val="209414DB"/>
    <w:rsid w:val="20A462BA"/>
    <w:rsid w:val="20B36B92"/>
    <w:rsid w:val="20BF2AAC"/>
    <w:rsid w:val="20C849C7"/>
    <w:rsid w:val="20DF66D2"/>
    <w:rsid w:val="20EC3F2E"/>
    <w:rsid w:val="20EC7C3E"/>
    <w:rsid w:val="20F07537"/>
    <w:rsid w:val="20FA77BC"/>
    <w:rsid w:val="210548E9"/>
    <w:rsid w:val="210D14B3"/>
    <w:rsid w:val="21124D15"/>
    <w:rsid w:val="21164A79"/>
    <w:rsid w:val="211C7DEA"/>
    <w:rsid w:val="213B13E1"/>
    <w:rsid w:val="213E7119"/>
    <w:rsid w:val="21401C29"/>
    <w:rsid w:val="21530058"/>
    <w:rsid w:val="21567D84"/>
    <w:rsid w:val="216608E3"/>
    <w:rsid w:val="21675117"/>
    <w:rsid w:val="21810744"/>
    <w:rsid w:val="218D6EF5"/>
    <w:rsid w:val="2195668B"/>
    <w:rsid w:val="219F69EC"/>
    <w:rsid w:val="21A130EA"/>
    <w:rsid w:val="21B405F8"/>
    <w:rsid w:val="21B5366A"/>
    <w:rsid w:val="21B6640A"/>
    <w:rsid w:val="21C267BF"/>
    <w:rsid w:val="21C67C42"/>
    <w:rsid w:val="21CB6217"/>
    <w:rsid w:val="21CD6BCD"/>
    <w:rsid w:val="21CE6067"/>
    <w:rsid w:val="21CF439A"/>
    <w:rsid w:val="21D824E4"/>
    <w:rsid w:val="21E35D49"/>
    <w:rsid w:val="21F00127"/>
    <w:rsid w:val="21F7745C"/>
    <w:rsid w:val="22035C75"/>
    <w:rsid w:val="221D2FA3"/>
    <w:rsid w:val="22225F3D"/>
    <w:rsid w:val="2226635F"/>
    <w:rsid w:val="222D4F0B"/>
    <w:rsid w:val="223A29CF"/>
    <w:rsid w:val="223D7545"/>
    <w:rsid w:val="22411D14"/>
    <w:rsid w:val="22423BE1"/>
    <w:rsid w:val="22454449"/>
    <w:rsid w:val="22500810"/>
    <w:rsid w:val="22596EC8"/>
    <w:rsid w:val="226347BD"/>
    <w:rsid w:val="22682935"/>
    <w:rsid w:val="226E0A7E"/>
    <w:rsid w:val="226F4201"/>
    <w:rsid w:val="227E0D30"/>
    <w:rsid w:val="227E7CD6"/>
    <w:rsid w:val="228A4698"/>
    <w:rsid w:val="22925971"/>
    <w:rsid w:val="22945167"/>
    <w:rsid w:val="229B0BE2"/>
    <w:rsid w:val="22A55CD5"/>
    <w:rsid w:val="22C04851"/>
    <w:rsid w:val="22C558BB"/>
    <w:rsid w:val="22C74EE2"/>
    <w:rsid w:val="22CB6237"/>
    <w:rsid w:val="22CD14B5"/>
    <w:rsid w:val="22E02C6E"/>
    <w:rsid w:val="22E04FF4"/>
    <w:rsid w:val="22E1121B"/>
    <w:rsid w:val="22EA4C70"/>
    <w:rsid w:val="22F15AB9"/>
    <w:rsid w:val="22F75251"/>
    <w:rsid w:val="22F86F75"/>
    <w:rsid w:val="22FB4D32"/>
    <w:rsid w:val="22FC72E3"/>
    <w:rsid w:val="23131055"/>
    <w:rsid w:val="23146AC2"/>
    <w:rsid w:val="232C2DD6"/>
    <w:rsid w:val="233C6F76"/>
    <w:rsid w:val="234449F5"/>
    <w:rsid w:val="23536618"/>
    <w:rsid w:val="236A33AF"/>
    <w:rsid w:val="236C1BCA"/>
    <w:rsid w:val="237464D5"/>
    <w:rsid w:val="23816932"/>
    <w:rsid w:val="238E01E4"/>
    <w:rsid w:val="238F46A5"/>
    <w:rsid w:val="23925D42"/>
    <w:rsid w:val="239C062C"/>
    <w:rsid w:val="23A9484E"/>
    <w:rsid w:val="23B32F98"/>
    <w:rsid w:val="23B84268"/>
    <w:rsid w:val="23D17D7B"/>
    <w:rsid w:val="23D36D91"/>
    <w:rsid w:val="23E02099"/>
    <w:rsid w:val="23F70BA5"/>
    <w:rsid w:val="23F93D0D"/>
    <w:rsid w:val="2405417E"/>
    <w:rsid w:val="24197365"/>
    <w:rsid w:val="241B5C62"/>
    <w:rsid w:val="24312CB0"/>
    <w:rsid w:val="243A6CBE"/>
    <w:rsid w:val="24513B48"/>
    <w:rsid w:val="2458381E"/>
    <w:rsid w:val="245872F9"/>
    <w:rsid w:val="245943D9"/>
    <w:rsid w:val="245E6B64"/>
    <w:rsid w:val="2463385E"/>
    <w:rsid w:val="246B2606"/>
    <w:rsid w:val="24767C7B"/>
    <w:rsid w:val="247C178B"/>
    <w:rsid w:val="24861BCE"/>
    <w:rsid w:val="2486388F"/>
    <w:rsid w:val="24967323"/>
    <w:rsid w:val="249D5FC8"/>
    <w:rsid w:val="24A1538E"/>
    <w:rsid w:val="24B9450F"/>
    <w:rsid w:val="24C25350"/>
    <w:rsid w:val="24C456B0"/>
    <w:rsid w:val="24C83F94"/>
    <w:rsid w:val="24C9288E"/>
    <w:rsid w:val="24D82EE2"/>
    <w:rsid w:val="24F60CDA"/>
    <w:rsid w:val="24FE42EB"/>
    <w:rsid w:val="25090336"/>
    <w:rsid w:val="250D450C"/>
    <w:rsid w:val="25134332"/>
    <w:rsid w:val="25141A5B"/>
    <w:rsid w:val="2521546A"/>
    <w:rsid w:val="252242ED"/>
    <w:rsid w:val="252A2BA6"/>
    <w:rsid w:val="252B49E0"/>
    <w:rsid w:val="252D3CC1"/>
    <w:rsid w:val="254A35DD"/>
    <w:rsid w:val="255D45FE"/>
    <w:rsid w:val="25657E8F"/>
    <w:rsid w:val="256658A2"/>
    <w:rsid w:val="25691F8B"/>
    <w:rsid w:val="256C13EF"/>
    <w:rsid w:val="256E76DE"/>
    <w:rsid w:val="25733F7D"/>
    <w:rsid w:val="25734B61"/>
    <w:rsid w:val="257632D6"/>
    <w:rsid w:val="25855673"/>
    <w:rsid w:val="258F6BC4"/>
    <w:rsid w:val="2597510C"/>
    <w:rsid w:val="25975923"/>
    <w:rsid w:val="259A3D0A"/>
    <w:rsid w:val="25A95F3E"/>
    <w:rsid w:val="25BD12A6"/>
    <w:rsid w:val="25BF0CF9"/>
    <w:rsid w:val="25BF6041"/>
    <w:rsid w:val="25C35718"/>
    <w:rsid w:val="25C61D8C"/>
    <w:rsid w:val="25CF0252"/>
    <w:rsid w:val="25D0248E"/>
    <w:rsid w:val="25D61C5C"/>
    <w:rsid w:val="25F81D70"/>
    <w:rsid w:val="25FB5636"/>
    <w:rsid w:val="25FE58A9"/>
    <w:rsid w:val="26006FFE"/>
    <w:rsid w:val="26026DCF"/>
    <w:rsid w:val="26070462"/>
    <w:rsid w:val="260D2C45"/>
    <w:rsid w:val="26143984"/>
    <w:rsid w:val="261B63E3"/>
    <w:rsid w:val="262519C1"/>
    <w:rsid w:val="262E3CBF"/>
    <w:rsid w:val="26395C92"/>
    <w:rsid w:val="2641231E"/>
    <w:rsid w:val="264252DF"/>
    <w:rsid w:val="26465DA0"/>
    <w:rsid w:val="26562F1C"/>
    <w:rsid w:val="26577EF5"/>
    <w:rsid w:val="265A5249"/>
    <w:rsid w:val="265C53CB"/>
    <w:rsid w:val="266237C3"/>
    <w:rsid w:val="267550B9"/>
    <w:rsid w:val="26996DAE"/>
    <w:rsid w:val="26BE1846"/>
    <w:rsid w:val="26C472EC"/>
    <w:rsid w:val="26E51F4F"/>
    <w:rsid w:val="26E563DD"/>
    <w:rsid w:val="26E83216"/>
    <w:rsid w:val="26EC491A"/>
    <w:rsid w:val="26ED73E1"/>
    <w:rsid w:val="26F503CD"/>
    <w:rsid w:val="27036506"/>
    <w:rsid w:val="27047832"/>
    <w:rsid w:val="2706037D"/>
    <w:rsid w:val="27077793"/>
    <w:rsid w:val="270D152E"/>
    <w:rsid w:val="27104BA3"/>
    <w:rsid w:val="271436A9"/>
    <w:rsid w:val="27204B5D"/>
    <w:rsid w:val="27257DE1"/>
    <w:rsid w:val="272F31A0"/>
    <w:rsid w:val="27310CAC"/>
    <w:rsid w:val="27342901"/>
    <w:rsid w:val="273D2762"/>
    <w:rsid w:val="27470B72"/>
    <w:rsid w:val="27525E32"/>
    <w:rsid w:val="27604751"/>
    <w:rsid w:val="276621B4"/>
    <w:rsid w:val="276D111F"/>
    <w:rsid w:val="2778582E"/>
    <w:rsid w:val="27806765"/>
    <w:rsid w:val="27821DE7"/>
    <w:rsid w:val="27832596"/>
    <w:rsid w:val="278C1620"/>
    <w:rsid w:val="279B1E53"/>
    <w:rsid w:val="279C5F0C"/>
    <w:rsid w:val="279E0177"/>
    <w:rsid w:val="27AA3521"/>
    <w:rsid w:val="27AB7429"/>
    <w:rsid w:val="27B10D86"/>
    <w:rsid w:val="27C0656B"/>
    <w:rsid w:val="27C57B2B"/>
    <w:rsid w:val="27C8029E"/>
    <w:rsid w:val="27CC78AC"/>
    <w:rsid w:val="27D72FE7"/>
    <w:rsid w:val="27D86029"/>
    <w:rsid w:val="27DD45ED"/>
    <w:rsid w:val="27E3651B"/>
    <w:rsid w:val="27E864CC"/>
    <w:rsid w:val="27EC25E3"/>
    <w:rsid w:val="27ED0939"/>
    <w:rsid w:val="27F1498B"/>
    <w:rsid w:val="27F80CA0"/>
    <w:rsid w:val="28021134"/>
    <w:rsid w:val="2802750E"/>
    <w:rsid w:val="28027A71"/>
    <w:rsid w:val="281D5376"/>
    <w:rsid w:val="281F4F67"/>
    <w:rsid w:val="282857E6"/>
    <w:rsid w:val="283744B4"/>
    <w:rsid w:val="283E7768"/>
    <w:rsid w:val="28485D62"/>
    <w:rsid w:val="28517107"/>
    <w:rsid w:val="28524ABE"/>
    <w:rsid w:val="285560D7"/>
    <w:rsid w:val="286943BC"/>
    <w:rsid w:val="286C77D1"/>
    <w:rsid w:val="286E74F1"/>
    <w:rsid w:val="28760CA0"/>
    <w:rsid w:val="287A2167"/>
    <w:rsid w:val="287B218C"/>
    <w:rsid w:val="288A05DD"/>
    <w:rsid w:val="288C7637"/>
    <w:rsid w:val="28937D89"/>
    <w:rsid w:val="289B0550"/>
    <w:rsid w:val="28A044B5"/>
    <w:rsid w:val="28BD3F79"/>
    <w:rsid w:val="28C8606D"/>
    <w:rsid w:val="28C96C14"/>
    <w:rsid w:val="28DC6BC2"/>
    <w:rsid w:val="28DE11F1"/>
    <w:rsid w:val="28E138E3"/>
    <w:rsid w:val="28E74216"/>
    <w:rsid w:val="28E87EE4"/>
    <w:rsid w:val="28F61640"/>
    <w:rsid w:val="28FD484F"/>
    <w:rsid w:val="290212AC"/>
    <w:rsid w:val="2903396A"/>
    <w:rsid w:val="294E766A"/>
    <w:rsid w:val="2952590A"/>
    <w:rsid w:val="295545AF"/>
    <w:rsid w:val="29623F1E"/>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0500B"/>
    <w:rsid w:val="29EC475A"/>
    <w:rsid w:val="29EF3680"/>
    <w:rsid w:val="29EF424E"/>
    <w:rsid w:val="29FA7F26"/>
    <w:rsid w:val="2A0B7871"/>
    <w:rsid w:val="2A166823"/>
    <w:rsid w:val="2A35650F"/>
    <w:rsid w:val="2A405845"/>
    <w:rsid w:val="2A4562D4"/>
    <w:rsid w:val="2A4D593F"/>
    <w:rsid w:val="2A575627"/>
    <w:rsid w:val="2A6C2D77"/>
    <w:rsid w:val="2A6E31F8"/>
    <w:rsid w:val="2A7270B7"/>
    <w:rsid w:val="2A824349"/>
    <w:rsid w:val="2A87174E"/>
    <w:rsid w:val="2A8A2F9C"/>
    <w:rsid w:val="2AA45D17"/>
    <w:rsid w:val="2AAB3B94"/>
    <w:rsid w:val="2AAC5A06"/>
    <w:rsid w:val="2AB22DE3"/>
    <w:rsid w:val="2AB369FC"/>
    <w:rsid w:val="2AB775FB"/>
    <w:rsid w:val="2ABB3D6F"/>
    <w:rsid w:val="2AC318D9"/>
    <w:rsid w:val="2AC70B30"/>
    <w:rsid w:val="2ACC2AAF"/>
    <w:rsid w:val="2ACD717C"/>
    <w:rsid w:val="2AD74744"/>
    <w:rsid w:val="2AD91AC2"/>
    <w:rsid w:val="2AE57C95"/>
    <w:rsid w:val="2AEF4C36"/>
    <w:rsid w:val="2AF34B3D"/>
    <w:rsid w:val="2AF35C8B"/>
    <w:rsid w:val="2B055F4D"/>
    <w:rsid w:val="2B0C0EEE"/>
    <w:rsid w:val="2B112D02"/>
    <w:rsid w:val="2B132265"/>
    <w:rsid w:val="2B214776"/>
    <w:rsid w:val="2B2843BE"/>
    <w:rsid w:val="2B2A789A"/>
    <w:rsid w:val="2B313FC1"/>
    <w:rsid w:val="2B347C14"/>
    <w:rsid w:val="2B39348E"/>
    <w:rsid w:val="2B437285"/>
    <w:rsid w:val="2B494377"/>
    <w:rsid w:val="2B4D695C"/>
    <w:rsid w:val="2B514803"/>
    <w:rsid w:val="2B562151"/>
    <w:rsid w:val="2B5E6C2A"/>
    <w:rsid w:val="2B637D4B"/>
    <w:rsid w:val="2B6B1684"/>
    <w:rsid w:val="2B7B70BF"/>
    <w:rsid w:val="2B853AF3"/>
    <w:rsid w:val="2B8B422C"/>
    <w:rsid w:val="2B950A36"/>
    <w:rsid w:val="2BA07D38"/>
    <w:rsid w:val="2BBC7962"/>
    <w:rsid w:val="2BC40957"/>
    <w:rsid w:val="2BCA5C66"/>
    <w:rsid w:val="2BCB5DAA"/>
    <w:rsid w:val="2BD65380"/>
    <w:rsid w:val="2BD86372"/>
    <w:rsid w:val="2BDA39FD"/>
    <w:rsid w:val="2BE67ADC"/>
    <w:rsid w:val="2BE725D0"/>
    <w:rsid w:val="2BEF631E"/>
    <w:rsid w:val="2BF369B9"/>
    <w:rsid w:val="2BFC0A4A"/>
    <w:rsid w:val="2C094904"/>
    <w:rsid w:val="2C0E55A1"/>
    <w:rsid w:val="2C1172CF"/>
    <w:rsid w:val="2C14030B"/>
    <w:rsid w:val="2C346DB5"/>
    <w:rsid w:val="2C3A7BF6"/>
    <w:rsid w:val="2C425BCE"/>
    <w:rsid w:val="2C44676A"/>
    <w:rsid w:val="2C495C38"/>
    <w:rsid w:val="2C4A080C"/>
    <w:rsid w:val="2C4E77B9"/>
    <w:rsid w:val="2C54533B"/>
    <w:rsid w:val="2C591378"/>
    <w:rsid w:val="2C5C1E78"/>
    <w:rsid w:val="2C722F9A"/>
    <w:rsid w:val="2C797A76"/>
    <w:rsid w:val="2C8B6C0E"/>
    <w:rsid w:val="2C8F4862"/>
    <w:rsid w:val="2C9E5AC8"/>
    <w:rsid w:val="2CA05674"/>
    <w:rsid w:val="2CA2721B"/>
    <w:rsid w:val="2CA63A0C"/>
    <w:rsid w:val="2CAC6D87"/>
    <w:rsid w:val="2CB23B2C"/>
    <w:rsid w:val="2CB268EE"/>
    <w:rsid w:val="2CB600FC"/>
    <w:rsid w:val="2CBE6567"/>
    <w:rsid w:val="2CCB6E18"/>
    <w:rsid w:val="2CCF5C52"/>
    <w:rsid w:val="2CE01F07"/>
    <w:rsid w:val="2CE8526F"/>
    <w:rsid w:val="2D024DC7"/>
    <w:rsid w:val="2D026315"/>
    <w:rsid w:val="2D0764BD"/>
    <w:rsid w:val="2D0A3DA2"/>
    <w:rsid w:val="2D0B3169"/>
    <w:rsid w:val="2D0D4219"/>
    <w:rsid w:val="2D105AFA"/>
    <w:rsid w:val="2D2279B8"/>
    <w:rsid w:val="2D260795"/>
    <w:rsid w:val="2D274320"/>
    <w:rsid w:val="2D2D2DE2"/>
    <w:rsid w:val="2D3117D3"/>
    <w:rsid w:val="2D324CCC"/>
    <w:rsid w:val="2D340E86"/>
    <w:rsid w:val="2D395427"/>
    <w:rsid w:val="2D3A2269"/>
    <w:rsid w:val="2D3D0E02"/>
    <w:rsid w:val="2D510F65"/>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0F49FC"/>
    <w:rsid w:val="2E147A92"/>
    <w:rsid w:val="2E2D64A9"/>
    <w:rsid w:val="2E34792A"/>
    <w:rsid w:val="2E376AEB"/>
    <w:rsid w:val="2E437E73"/>
    <w:rsid w:val="2E4A5201"/>
    <w:rsid w:val="2E5034DC"/>
    <w:rsid w:val="2E572AB9"/>
    <w:rsid w:val="2E600E38"/>
    <w:rsid w:val="2E7258DC"/>
    <w:rsid w:val="2E7545D2"/>
    <w:rsid w:val="2E79458E"/>
    <w:rsid w:val="2E797A78"/>
    <w:rsid w:val="2E7A5F31"/>
    <w:rsid w:val="2E7C6A94"/>
    <w:rsid w:val="2E8321A5"/>
    <w:rsid w:val="2E8475EF"/>
    <w:rsid w:val="2E8D14A8"/>
    <w:rsid w:val="2E95430E"/>
    <w:rsid w:val="2E9A2060"/>
    <w:rsid w:val="2E9F6D95"/>
    <w:rsid w:val="2EAE350B"/>
    <w:rsid w:val="2EB20A6C"/>
    <w:rsid w:val="2EBC2287"/>
    <w:rsid w:val="2EC3466D"/>
    <w:rsid w:val="2EC44440"/>
    <w:rsid w:val="2ECA3116"/>
    <w:rsid w:val="2EDD7896"/>
    <w:rsid w:val="2EEA6E65"/>
    <w:rsid w:val="2EF33C7C"/>
    <w:rsid w:val="2EFF18FA"/>
    <w:rsid w:val="2F00052B"/>
    <w:rsid w:val="2F0367CD"/>
    <w:rsid w:val="2F1251F2"/>
    <w:rsid w:val="2F2B5FBF"/>
    <w:rsid w:val="2F2D445E"/>
    <w:rsid w:val="2F4B20A5"/>
    <w:rsid w:val="2F4F6FBB"/>
    <w:rsid w:val="2F5A00E5"/>
    <w:rsid w:val="2F5B737E"/>
    <w:rsid w:val="2F664E2B"/>
    <w:rsid w:val="2F6C7BE3"/>
    <w:rsid w:val="2F783485"/>
    <w:rsid w:val="2F7A17CB"/>
    <w:rsid w:val="2F7A78AC"/>
    <w:rsid w:val="2F7F5C0B"/>
    <w:rsid w:val="2F895685"/>
    <w:rsid w:val="2F9A13B4"/>
    <w:rsid w:val="2FA417BA"/>
    <w:rsid w:val="2FA6492D"/>
    <w:rsid w:val="2FC86676"/>
    <w:rsid w:val="2FD17A1B"/>
    <w:rsid w:val="2FD71CA4"/>
    <w:rsid w:val="2FDC432A"/>
    <w:rsid w:val="2FDC4A8D"/>
    <w:rsid w:val="2FE27109"/>
    <w:rsid w:val="2FEA743A"/>
    <w:rsid w:val="2FF24D11"/>
    <w:rsid w:val="2FF93066"/>
    <w:rsid w:val="30017091"/>
    <w:rsid w:val="301742B2"/>
    <w:rsid w:val="301A1509"/>
    <w:rsid w:val="301A71CE"/>
    <w:rsid w:val="301D63DD"/>
    <w:rsid w:val="301E049B"/>
    <w:rsid w:val="302A4BE6"/>
    <w:rsid w:val="30303A18"/>
    <w:rsid w:val="304478EC"/>
    <w:rsid w:val="304F4511"/>
    <w:rsid w:val="30515C8E"/>
    <w:rsid w:val="305823FF"/>
    <w:rsid w:val="306B7868"/>
    <w:rsid w:val="30830761"/>
    <w:rsid w:val="30926F91"/>
    <w:rsid w:val="30962F3E"/>
    <w:rsid w:val="30A85733"/>
    <w:rsid w:val="30AA2585"/>
    <w:rsid w:val="30C16A19"/>
    <w:rsid w:val="30C262B6"/>
    <w:rsid w:val="30CB5800"/>
    <w:rsid w:val="30D32236"/>
    <w:rsid w:val="30D72E30"/>
    <w:rsid w:val="30DB6CFA"/>
    <w:rsid w:val="30E43E12"/>
    <w:rsid w:val="30E53B71"/>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938E9"/>
    <w:rsid w:val="317E5000"/>
    <w:rsid w:val="31870868"/>
    <w:rsid w:val="31875BB4"/>
    <w:rsid w:val="31A9328B"/>
    <w:rsid w:val="31B718F2"/>
    <w:rsid w:val="31C57B88"/>
    <w:rsid w:val="31D20051"/>
    <w:rsid w:val="31DC626C"/>
    <w:rsid w:val="31E745D2"/>
    <w:rsid w:val="31EF7EE8"/>
    <w:rsid w:val="3201404F"/>
    <w:rsid w:val="32070FA4"/>
    <w:rsid w:val="320901F5"/>
    <w:rsid w:val="320B7CCB"/>
    <w:rsid w:val="32105DE8"/>
    <w:rsid w:val="32286907"/>
    <w:rsid w:val="322E2721"/>
    <w:rsid w:val="322E3DE8"/>
    <w:rsid w:val="3235187E"/>
    <w:rsid w:val="3237186B"/>
    <w:rsid w:val="323B6798"/>
    <w:rsid w:val="32435C91"/>
    <w:rsid w:val="32537B57"/>
    <w:rsid w:val="325779E7"/>
    <w:rsid w:val="325F618E"/>
    <w:rsid w:val="32757E99"/>
    <w:rsid w:val="327D43E5"/>
    <w:rsid w:val="32842CF3"/>
    <w:rsid w:val="328F2182"/>
    <w:rsid w:val="328F5534"/>
    <w:rsid w:val="329A6217"/>
    <w:rsid w:val="329A6ACE"/>
    <w:rsid w:val="329C2950"/>
    <w:rsid w:val="32A145CA"/>
    <w:rsid w:val="32A230DB"/>
    <w:rsid w:val="32B52836"/>
    <w:rsid w:val="32C16E3E"/>
    <w:rsid w:val="32DF351E"/>
    <w:rsid w:val="32EE5E41"/>
    <w:rsid w:val="32F1510B"/>
    <w:rsid w:val="32F40F87"/>
    <w:rsid w:val="32F520B9"/>
    <w:rsid w:val="32F879A5"/>
    <w:rsid w:val="32FD7C76"/>
    <w:rsid w:val="330414AF"/>
    <w:rsid w:val="330C22FC"/>
    <w:rsid w:val="33231081"/>
    <w:rsid w:val="332A6617"/>
    <w:rsid w:val="33540E5D"/>
    <w:rsid w:val="335A0521"/>
    <w:rsid w:val="335D7182"/>
    <w:rsid w:val="335E7B11"/>
    <w:rsid w:val="3364318B"/>
    <w:rsid w:val="33691888"/>
    <w:rsid w:val="336A499A"/>
    <w:rsid w:val="33714830"/>
    <w:rsid w:val="33737F51"/>
    <w:rsid w:val="3375654F"/>
    <w:rsid w:val="337964FF"/>
    <w:rsid w:val="337D34FB"/>
    <w:rsid w:val="337E2DAF"/>
    <w:rsid w:val="339C6DF8"/>
    <w:rsid w:val="33A47053"/>
    <w:rsid w:val="33AD5111"/>
    <w:rsid w:val="33BF4199"/>
    <w:rsid w:val="33CD23A8"/>
    <w:rsid w:val="33CD6498"/>
    <w:rsid w:val="33D7554F"/>
    <w:rsid w:val="33D825FA"/>
    <w:rsid w:val="33DB2AB1"/>
    <w:rsid w:val="33E52BFA"/>
    <w:rsid w:val="33FE62E7"/>
    <w:rsid w:val="33FF7B8B"/>
    <w:rsid w:val="34080399"/>
    <w:rsid w:val="340D25F6"/>
    <w:rsid w:val="34161D6C"/>
    <w:rsid w:val="341E19AD"/>
    <w:rsid w:val="34221EAF"/>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81748"/>
    <w:rsid w:val="3499657C"/>
    <w:rsid w:val="34A52713"/>
    <w:rsid w:val="34BD02AE"/>
    <w:rsid w:val="34BD32A6"/>
    <w:rsid w:val="34BE1B67"/>
    <w:rsid w:val="34C20DC7"/>
    <w:rsid w:val="34DA26A8"/>
    <w:rsid w:val="34DE2B9F"/>
    <w:rsid w:val="34DF0124"/>
    <w:rsid w:val="34E145D2"/>
    <w:rsid w:val="34E75EA5"/>
    <w:rsid w:val="34E960F1"/>
    <w:rsid w:val="34EE6187"/>
    <w:rsid w:val="350A65C4"/>
    <w:rsid w:val="350B42D5"/>
    <w:rsid w:val="350F6258"/>
    <w:rsid w:val="351A603C"/>
    <w:rsid w:val="35257EF7"/>
    <w:rsid w:val="352821F6"/>
    <w:rsid w:val="3533698A"/>
    <w:rsid w:val="35387F19"/>
    <w:rsid w:val="3539550B"/>
    <w:rsid w:val="354319AA"/>
    <w:rsid w:val="354D5E0E"/>
    <w:rsid w:val="355D10E3"/>
    <w:rsid w:val="356150BC"/>
    <w:rsid w:val="356678B4"/>
    <w:rsid w:val="3573649F"/>
    <w:rsid w:val="35774602"/>
    <w:rsid w:val="357E4B0A"/>
    <w:rsid w:val="35866D7F"/>
    <w:rsid w:val="358E1E8F"/>
    <w:rsid w:val="358F6BDF"/>
    <w:rsid w:val="35917C0B"/>
    <w:rsid w:val="359371C8"/>
    <w:rsid w:val="35A26AC9"/>
    <w:rsid w:val="35A440D7"/>
    <w:rsid w:val="35C06D50"/>
    <w:rsid w:val="35CD6F14"/>
    <w:rsid w:val="35D24294"/>
    <w:rsid w:val="35D71152"/>
    <w:rsid w:val="35F629BD"/>
    <w:rsid w:val="35F96008"/>
    <w:rsid w:val="35FF6F3C"/>
    <w:rsid w:val="3600359A"/>
    <w:rsid w:val="36075F27"/>
    <w:rsid w:val="36121506"/>
    <w:rsid w:val="36180A4A"/>
    <w:rsid w:val="361D4CF3"/>
    <w:rsid w:val="361D7A43"/>
    <w:rsid w:val="361E658D"/>
    <w:rsid w:val="361F3323"/>
    <w:rsid w:val="363019EB"/>
    <w:rsid w:val="36326D0C"/>
    <w:rsid w:val="36402EFA"/>
    <w:rsid w:val="36496A51"/>
    <w:rsid w:val="364F7CD0"/>
    <w:rsid w:val="36535FD0"/>
    <w:rsid w:val="365623F6"/>
    <w:rsid w:val="366B1251"/>
    <w:rsid w:val="366C7E67"/>
    <w:rsid w:val="368225B4"/>
    <w:rsid w:val="368230C6"/>
    <w:rsid w:val="36843A03"/>
    <w:rsid w:val="368C605B"/>
    <w:rsid w:val="368F7E4F"/>
    <w:rsid w:val="36985297"/>
    <w:rsid w:val="369F633B"/>
    <w:rsid w:val="36A30FDB"/>
    <w:rsid w:val="36A7007C"/>
    <w:rsid w:val="36AB07EC"/>
    <w:rsid w:val="36B24AE8"/>
    <w:rsid w:val="36BD0DC4"/>
    <w:rsid w:val="36D51D00"/>
    <w:rsid w:val="36D66B5E"/>
    <w:rsid w:val="36D86634"/>
    <w:rsid w:val="36DE4AF9"/>
    <w:rsid w:val="36E410A4"/>
    <w:rsid w:val="36E93760"/>
    <w:rsid w:val="36F4550C"/>
    <w:rsid w:val="36FB4305"/>
    <w:rsid w:val="3708597F"/>
    <w:rsid w:val="3709624C"/>
    <w:rsid w:val="37096815"/>
    <w:rsid w:val="370F7060"/>
    <w:rsid w:val="37132002"/>
    <w:rsid w:val="37134801"/>
    <w:rsid w:val="37173233"/>
    <w:rsid w:val="371C344E"/>
    <w:rsid w:val="37226558"/>
    <w:rsid w:val="3734159D"/>
    <w:rsid w:val="37382526"/>
    <w:rsid w:val="373B4C89"/>
    <w:rsid w:val="37503E6C"/>
    <w:rsid w:val="3758590A"/>
    <w:rsid w:val="375E77B2"/>
    <w:rsid w:val="37602E60"/>
    <w:rsid w:val="37611796"/>
    <w:rsid w:val="37625C1C"/>
    <w:rsid w:val="377519F1"/>
    <w:rsid w:val="377B528D"/>
    <w:rsid w:val="377D206E"/>
    <w:rsid w:val="377D4DA8"/>
    <w:rsid w:val="378229A7"/>
    <w:rsid w:val="3784394E"/>
    <w:rsid w:val="37946975"/>
    <w:rsid w:val="37987437"/>
    <w:rsid w:val="379F33FC"/>
    <w:rsid w:val="37A432E4"/>
    <w:rsid w:val="37A86196"/>
    <w:rsid w:val="37C94031"/>
    <w:rsid w:val="37CA042E"/>
    <w:rsid w:val="37CA2635"/>
    <w:rsid w:val="37D44549"/>
    <w:rsid w:val="37D77B09"/>
    <w:rsid w:val="37D931A8"/>
    <w:rsid w:val="37D97EDE"/>
    <w:rsid w:val="37E76E34"/>
    <w:rsid w:val="380632B2"/>
    <w:rsid w:val="380D02B1"/>
    <w:rsid w:val="38190834"/>
    <w:rsid w:val="381C3EB1"/>
    <w:rsid w:val="381E409C"/>
    <w:rsid w:val="382B1BDF"/>
    <w:rsid w:val="382E392C"/>
    <w:rsid w:val="38310B25"/>
    <w:rsid w:val="38325D99"/>
    <w:rsid w:val="38342E90"/>
    <w:rsid w:val="38451B7E"/>
    <w:rsid w:val="384B7332"/>
    <w:rsid w:val="384E20F8"/>
    <w:rsid w:val="385056AF"/>
    <w:rsid w:val="386A7142"/>
    <w:rsid w:val="386B60F2"/>
    <w:rsid w:val="386E0B2C"/>
    <w:rsid w:val="38706DCB"/>
    <w:rsid w:val="387E793E"/>
    <w:rsid w:val="388E5848"/>
    <w:rsid w:val="389E7B13"/>
    <w:rsid w:val="38A341A7"/>
    <w:rsid w:val="38AF6B7E"/>
    <w:rsid w:val="38BD240C"/>
    <w:rsid w:val="38BD31EE"/>
    <w:rsid w:val="38C05985"/>
    <w:rsid w:val="38C2629A"/>
    <w:rsid w:val="38CB3BDF"/>
    <w:rsid w:val="38CD22F1"/>
    <w:rsid w:val="38D33D29"/>
    <w:rsid w:val="38D41CCF"/>
    <w:rsid w:val="38E40A5B"/>
    <w:rsid w:val="38E51952"/>
    <w:rsid w:val="38F16A28"/>
    <w:rsid w:val="3913128B"/>
    <w:rsid w:val="391A3359"/>
    <w:rsid w:val="39285D57"/>
    <w:rsid w:val="39315D4D"/>
    <w:rsid w:val="39440601"/>
    <w:rsid w:val="39457B13"/>
    <w:rsid w:val="394B6470"/>
    <w:rsid w:val="395C6EA8"/>
    <w:rsid w:val="39841325"/>
    <w:rsid w:val="39872512"/>
    <w:rsid w:val="39A602F9"/>
    <w:rsid w:val="39BD45C8"/>
    <w:rsid w:val="39C0619E"/>
    <w:rsid w:val="39C2316A"/>
    <w:rsid w:val="39F36281"/>
    <w:rsid w:val="39FD376D"/>
    <w:rsid w:val="39FD6C9C"/>
    <w:rsid w:val="39FF6B36"/>
    <w:rsid w:val="3A0224B9"/>
    <w:rsid w:val="3A0526B5"/>
    <w:rsid w:val="3A14011B"/>
    <w:rsid w:val="3A1509F4"/>
    <w:rsid w:val="3A16728B"/>
    <w:rsid w:val="3A16794C"/>
    <w:rsid w:val="3A1E055E"/>
    <w:rsid w:val="3A1F6809"/>
    <w:rsid w:val="3A226969"/>
    <w:rsid w:val="3A3F47CE"/>
    <w:rsid w:val="3A410243"/>
    <w:rsid w:val="3A475185"/>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D1A41"/>
    <w:rsid w:val="3B3E5BDD"/>
    <w:rsid w:val="3B4317CA"/>
    <w:rsid w:val="3B552653"/>
    <w:rsid w:val="3B5A2A22"/>
    <w:rsid w:val="3B707794"/>
    <w:rsid w:val="3B7804A3"/>
    <w:rsid w:val="3B796B5F"/>
    <w:rsid w:val="3B8E2153"/>
    <w:rsid w:val="3B9B2072"/>
    <w:rsid w:val="3BA03B83"/>
    <w:rsid w:val="3BA91F03"/>
    <w:rsid w:val="3BB16FA6"/>
    <w:rsid w:val="3BB17CE6"/>
    <w:rsid w:val="3BB20883"/>
    <w:rsid w:val="3BB448B0"/>
    <w:rsid w:val="3BC34E75"/>
    <w:rsid w:val="3BCB270F"/>
    <w:rsid w:val="3BD569C2"/>
    <w:rsid w:val="3BD96AA6"/>
    <w:rsid w:val="3BDB053C"/>
    <w:rsid w:val="3BE4466B"/>
    <w:rsid w:val="3BEC2DB7"/>
    <w:rsid w:val="3BED002E"/>
    <w:rsid w:val="3C0429BF"/>
    <w:rsid w:val="3C066389"/>
    <w:rsid w:val="3C0D66FC"/>
    <w:rsid w:val="3C120C48"/>
    <w:rsid w:val="3C1A201A"/>
    <w:rsid w:val="3C276807"/>
    <w:rsid w:val="3C306E2F"/>
    <w:rsid w:val="3C3274E5"/>
    <w:rsid w:val="3C371D4B"/>
    <w:rsid w:val="3C382561"/>
    <w:rsid w:val="3C3B4B9D"/>
    <w:rsid w:val="3C3F772B"/>
    <w:rsid w:val="3C413C82"/>
    <w:rsid w:val="3C471C36"/>
    <w:rsid w:val="3C4B0140"/>
    <w:rsid w:val="3C4D66ED"/>
    <w:rsid w:val="3C577D11"/>
    <w:rsid w:val="3C5A6B66"/>
    <w:rsid w:val="3C6472A5"/>
    <w:rsid w:val="3C734413"/>
    <w:rsid w:val="3C7A6E5A"/>
    <w:rsid w:val="3C8869CA"/>
    <w:rsid w:val="3C982C18"/>
    <w:rsid w:val="3CA53F71"/>
    <w:rsid w:val="3CA734F8"/>
    <w:rsid w:val="3CA95F71"/>
    <w:rsid w:val="3CB33ABD"/>
    <w:rsid w:val="3CC16893"/>
    <w:rsid w:val="3CC74223"/>
    <w:rsid w:val="3CC828D0"/>
    <w:rsid w:val="3CCB43BE"/>
    <w:rsid w:val="3CDA6EE3"/>
    <w:rsid w:val="3CDB5F96"/>
    <w:rsid w:val="3CE23F49"/>
    <w:rsid w:val="3CE242F0"/>
    <w:rsid w:val="3CEA4F7F"/>
    <w:rsid w:val="3CEC39B8"/>
    <w:rsid w:val="3CF20887"/>
    <w:rsid w:val="3CF37919"/>
    <w:rsid w:val="3CF720E3"/>
    <w:rsid w:val="3CF72D6A"/>
    <w:rsid w:val="3CF86D06"/>
    <w:rsid w:val="3D00620E"/>
    <w:rsid w:val="3D035226"/>
    <w:rsid w:val="3D0E4AD7"/>
    <w:rsid w:val="3D31576C"/>
    <w:rsid w:val="3D316CDB"/>
    <w:rsid w:val="3D3373BD"/>
    <w:rsid w:val="3D3768D2"/>
    <w:rsid w:val="3D3A3838"/>
    <w:rsid w:val="3D3D6BBD"/>
    <w:rsid w:val="3D404CC7"/>
    <w:rsid w:val="3D450F8C"/>
    <w:rsid w:val="3D477118"/>
    <w:rsid w:val="3D51285A"/>
    <w:rsid w:val="3D594E54"/>
    <w:rsid w:val="3D62706F"/>
    <w:rsid w:val="3D6E2272"/>
    <w:rsid w:val="3D772B05"/>
    <w:rsid w:val="3D7C727A"/>
    <w:rsid w:val="3D81786B"/>
    <w:rsid w:val="3D830417"/>
    <w:rsid w:val="3D877AC5"/>
    <w:rsid w:val="3D882D35"/>
    <w:rsid w:val="3D8D2848"/>
    <w:rsid w:val="3D8D5DCB"/>
    <w:rsid w:val="3D94235D"/>
    <w:rsid w:val="3D9461E1"/>
    <w:rsid w:val="3DAF37B0"/>
    <w:rsid w:val="3DB34E86"/>
    <w:rsid w:val="3DB36BC6"/>
    <w:rsid w:val="3DB80A86"/>
    <w:rsid w:val="3DBE6A34"/>
    <w:rsid w:val="3DC00481"/>
    <w:rsid w:val="3DDA3E19"/>
    <w:rsid w:val="3DED0F96"/>
    <w:rsid w:val="3DF130D5"/>
    <w:rsid w:val="3DF95812"/>
    <w:rsid w:val="3DFC0C8E"/>
    <w:rsid w:val="3E0040D9"/>
    <w:rsid w:val="3E1328D6"/>
    <w:rsid w:val="3E162CA6"/>
    <w:rsid w:val="3E1B7668"/>
    <w:rsid w:val="3E1C6544"/>
    <w:rsid w:val="3E1D4B24"/>
    <w:rsid w:val="3E2A7B0A"/>
    <w:rsid w:val="3E314520"/>
    <w:rsid w:val="3E3A04FA"/>
    <w:rsid w:val="3E3D6B96"/>
    <w:rsid w:val="3E3F202E"/>
    <w:rsid w:val="3E441C7D"/>
    <w:rsid w:val="3E490256"/>
    <w:rsid w:val="3E4C2EC5"/>
    <w:rsid w:val="3E55739E"/>
    <w:rsid w:val="3E6C43C8"/>
    <w:rsid w:val="3E77468B"/>
    <w:rsid w:val="3E8227F0"/>
    <w:rsid w:val="3E937F82"/>
    <w:rsid w:val="3E9726BC"/>
    <w:rsid w:val="3E9B4B40"/>
    <w:rsid w:val="3EA926A7"/>
    <w:rsid w:val="3EB71AC8"/>
    <w:rsid w:val="3EC85E34"/>
    <w:rsid w:val="3ECF2AAC"/>
    <w:rsid w:val="3ED0424C"/>
    <w:rsid w:val="3ED07B7E"/>
    <w:rsid w:val="3EDC2C5B"/>
    <w:rsid w:val="3EF31E7F"/>
    <w:rsid w:val="3EF36DF0"/>
    <w:rsid w:val="3F035EE1"/>
    <w:rsid w:val="3F053EF6"/>
    <w:rsid w:val="3F093188"/>
    <w:rsid w:val="3F0C1E13"/>
    <w:rsid w:val="3F173F6B"/>
    <w:rsid w:val="3F1E1DE8"/>
    <w:rsid w:val="3F253B0C"/>
    <w:rsid w:val="3F2853A7"/>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B45C58"/>
    <w:rsid w:val="3FB75AD6"/>
    <w:rsid w:val="3FBA1D11"/>
    <w:rsid w:val="3FC36557"/>
    <w:rsid w:val="3FC84868"/>
    <w:rsid w:val="3FC956FF"/>
    <w:rsid w:val="3FD13F50"/>
    <w:rsid w:val="3FDC5F31"/>
    <w:rsid w:val="3FE04625"/>
    <w:rsid w:val="3FE86CE8"/>
    <w:rsid w:val="3FEF3DCD"/>
    <w:rsid w:val="3FF148F7"/>
    <w:rsid w:val="3FFB0F66"/>
    <w:rsid w:val="40022F93"/>
    <w:rsid w:val="400E6DDA"/>
    <w:rsid w:val="40146E6B"/>
    <w:rsid w:val="40225B50"/>
    <w:rsid w:val="403052F1"/>
    <w:rsid w:val="40330D29"/>
    <w:rsid w:val="404469FD"/>
    <w:rsid w:val="404A2717"/>
    <w:rsid w:val="404E779F"/>
    <w:rsid w:val="4059090D"/>
    <w:rsid w:val="4065170A"/>
    <w:rsid w:val="40687776"/>
    <w:rsid w:val="406966BC"/>
    <w:rsid w:val="406C4DFB"/>
    <w:rsid w:val="406E5CAB"/>
    <w:rsid w:val="40713C35"/>
    <w:rsid w:val="40823B87"/>
    <w:rsid w:val="408355D6"/>
    <w:rsid w:val="408376F8"/>
    <w:rsid w:val="408D6122"/>
    <w:rsid w:val="40A163F1"/>
    <w:rsid w:val="40A25054"/>
    <w:rsid w:val="40A325E0"/>
    <w:rsid w:val="40AE30AC"/>
    <w:rsid w:val="40AE7A15"/>
    <w:rsid w:val="40B41AE2"/>
    <w:rsid w:val="40B7228C"/>
    <w:rsid w:val="40BD0DA1"/>
    <w:rsid w:val="40D877F9"/>
    <w:rsid w:val="40EC7D18"/>
    <w:rsid w:val="40ED11A0"/>
    <w:rsid w:val="40F92E97"/>
    <w:rsid w:val="40FD1BF0"/>
    <w:rsid w:val="41015E92"/>
    <w:rsid w:val="41096BC0"/>
    <w:rsid w:val="410A75B6"/>
    <w:rsid w:val="410B452A"/>
    <w:rsid w:val="41146D26"/>
    <w:rsid w:val="411B6EDC"/>
    <w:rsid w:val="413353F1"/>
    <w:rsid w:val="41464224"/>
    <w:rsid w:val="414C0B0E"/>
    <w:rsid w:val="41513BC9"/>
    <w:rsid w:val="41735B7F"/>
    <w:rsid w:val="419302E2"/>
    <w:rsid w:val="419E558F"/>
    <w:rsid w:val="419E60D3"/>
    <w:rsid w:val="41A25332"/>
    <w:rsid w:val="41A339F5"/>
    <w:rsid w:val="41A36C7E"/>
    <w:rsid w:val="41AA4A84"/>
    <w:rsid w:val="41AF06D0"/>
    <w:rsid w:val="41B06152"/>
    <w:rsid w:val="41C45B38"/>
    <w:rsid w:val="41C93F6C"/>
    <w:rsid w:val="41D5139D"/>
    <w:rsid w:val="41D75714"/>
    <w:rsid w:val="41DD3BC3"/>
    <w:rsid w:val="41E535F4"/>
    <w:rsid w:val="41EE2F03"/>
    <w:rsid w:val="41F466FD"/>
    <w:rsid w:val="42002BC7"/>
    <w:rsid w:val="42026B03"/>
    <w:rsid w:val="420C60D5"/>
    <w:rsid w:val="420D197F"/>
    <w:rsid w:val="42130DE5"/>
    <w:rsid w:val="42170BD5"/>
    <w:rsid w:val="42187EBE"/>
    <w:rsid w:val="42201DD7"/>
    <w:rsid w:val="42240D3F"/>
    <w:rsid w:val="42273D8C"/>
    <w:rsid w:val="4227435A"/>
    <w:rsid w:val="424154E1"/>
    <w:rsid w:val="42494A4D"/>
    <w:rsid w:val="424B5824"/>
    <w:rsid w:val="42616DD3"/>
    <w:rsid w:val="426973AD"/>
    <w:rsid w:val="426F56CA"/>
    <w:rsid w:val="42702D0D"/>
    <w:rsid w:val="427A67A1"/>
    <w:rsid w:val="427E0B36"/>
    <w:rsid w:val="429F2355"/>
    <w:rsid w:val="42A03D98"/>
    <w:rsid w:val="42A143B8"/>
    <w:rsid w:val="42A37FC3"/>
    <w:rsid w:val="42A729F1"/>
    <w:rsid w:val="42B94BC1"/>
    <w:rsid w:val="42BE4DAE"/>
    <w:rsid w:val="42BF61B0"/>
    <w:rsid w:val="42C30254"/>
    <w:rsid w:val="42C42A08"/>
    <w:rsid w:val="42D064B1"/>
    <w:rsid w:val="42D41F6D"/>
    <w:rsid w:val="42DE48A3"/>
    <w:rsid w:val="42E16058"/>
    <w:rsid w:val="42F17BF5"/>
    <w:rsid w:val="42F87EC9"/>
    <w:rsid w:val="42FA45BF"/>
    <w:rsid w:val="430E7E66"/>
    <w:rsid w:val="431C35C1"/>
    <w:rsid w:val="431C44AA"/>
    <w:rsid w:val="43296963"/>
    <w:rsid w:val="4332317A"/>
    <w:rsid w:val="433246A0"/>
    <w:rsid w:val="433E7EE2"/>
    <w:rsid w:val="433F6B54"/>
    <w:rsid w:val="43424AD7"/>
    <w:rsid w:val="4346543A"/>
    <w:rsid w:val="43533E29"/>
    <w:rsid w:val="43561E16"/>
    <w:rsid w:val="435B1259"/>
    <w:rsid w:val="436263D5"/>
    <w:rsid w:val="437556C4"/>
    <w:rsid w:val="43874CD4"/>
    <w:rsid w:val="43874FE8"/>
    <w:rsid w:val="439B699F"/>
    <w:rsid w:val="439D3E18"/>
    <w:rsid w:val="439F1200"/>
    <w:rsid w:val="43AE320F"/>
    <w:rsid w:val="43AF2D32"/>
    <w:rsid w:val="43B13512"/>
    <w:rsid w:val="43B76E4F"/>
    <w:rsid w:val="43C24E88"/>
    <w:rsid w:val="43C9176D"/>
    <w:rsid w:val="43CF0206"/>
    <w:rsid w:val="43D50BA1"/>
    <w:rsid w:val="43D81E71"/>
    <w:rsid w:val="43D85D6D"/>
    <w:rsid w:val="43E23D98"/>
    <w:rsid w:val="43EC6F1F"/>
    <w:rsid w:val="43F124F2"/>
    <w:rsid w:val="43FE44BA"/>
    <w:rsid w:val="43FE63A7"/>
    <w:rsid w:val="440656C2"/>
    <w:rsid w:val="440D5045"/>
    <w:rsid w:val="440F6C97"/>
    <w:rsid w:val="44300615"/>
    <w:rsid w:val="44371929"/>
    <w:rsid w:val="443740AF"/>
    <w:rsid w:val="443C0A93"/>
    <w:rsid w:val="44480935"/>
    <w:rsid w:val="444851FA"/>
    <w:rsid w:val="445E4DEE"/>
    <w:rsid w:val="44640994"/>
    <w:rsid w:val="446B0434"/>
    <w:rsid w:val="44756A66"/>
    <w:rsid w:val="447E4EBE"/>
    <w:rsid w:val="447F0CBA"/>
    <w:rsid w:val="4491630F"/>
    <w:rsid w:val="449323D4"/>
    <w:rsid w:val="44957F46"/>
    <w:rsid w:val="44994CF5"/>
    <w:rsid w:val="44AF6578"/>
    <w:rsid w:val="44B463D5"/>
    <w:rsid w:val="44C17003"/>
    <w:rsid w:val="44C90753"/>
    <w:rsid w:val="44D649CF"/>
    <w:rsid w:val="44DC46EB"/>
    <w:rsid w:val="44EA6491"/>
    <w:rsid w:val="44EB5134"/>
    <w:rsid w:val="44F03F8F"/>
    <w:rsid w:val="44F14ECF"/>
    <w:rsid w:val="44F416F5"/>
    <w:rsid w:val="45042FB1"/>
    <w:rsid w:val="45162B93"/>
    <w:rsid w:val="45234E43"/>
    <w:rsid w:val="45275172"/>
    <w:rsid w:val="452F5B3A"/>
    <w:rsid w:val="45332511"/>
    <w:rsid w:val="45370B65"/>
    <w:rsid w:val="453F44DA"/>
    <w:rsid w:val="45412C46"/>
    <w:rsid w:val="454D3110"/>
    <w:rsid w:val="45514AD5"/>
    <w:rsid w:val="4552412E"/>
    <w:rsid w:val="45570907"/>
    <w:rsid w:val="455908C0"/>
    <w:rsid w:val="455933A5"/>
    <w:rsid w:val="45724579"/>
    <w:rsid w:val="45743BE6"/>
    <w:rsid w:val="4575513B"/>
    <w:rsid w:val="45761EDD"/>
    <w:rsid w:val="457A7286"/>
    <w:rsid w:val="457B06AA"/>
    <w:rsid w:val="457C7D39"/>
    <w:rsid w:val="458667C4"/>
    <w:rsid w:val="458F5163"/>
    <w:rsid w:val="45934E4A"/>
    <w:rsid w:val="459405E3"/>
    <w:rsid w:val="459C5A47"/>
    <w:rsid w:val="45A82F38"/>
    <w:rsid w:val="45B047D1"/>
    <w:rsid w:val="45B77545"/>
    <w:rsid w:val="45BE6191"/>
    <w:rsid w:val="45BE648C"/>
    <w:rsid w:val="45C152FE"/>
    <w:rsid w:val="45C661BC"/>
    <w:rsid w:val="45CA082F"/>
    <w:rsid w:val="45CD2126"/>
    <w:rsid w:val="45CF358A"/>
    <w:rsid w:val="45DD738A"/>
    <w:rsid w:val="45E372CD"/>
    <w:rsid w:val="45FB2D6A"/>
    <w:rsid w:val="460675A7"/>
    <w:rsid w:val="460C5979"/>
    <w:rsid w:val="46110AB3"/>
    <w:rsid w:val="46143B66"/>
    <w:rsid w:val="4615371C"/>
    <w:rsid w:val="46214325"/>
    <w:rsid w:val="4626398E"/>
    <w:rsid w:val="46315F44"/>
    <w:rsid w:val="463246EC"/>
    <w:rsid w:val="463425D3"/>
    <w:rsid w:val="463A3547"/>
    <w:rsid w:val="464B28C8"/>
    <w:rsid w:val="464E0973"/>
    <w:rsid w:val="46547AED"/>
    <w:rsid w:val="46555DC3"/>
    <w:rsid w:val="46617DB2"/>
    <w:rsid w:val="46621065"/>
    <w:rsid w:val="46665198"/>
    <w:rsid w:val="46697236"/>
    <w:rsid w:val="46770F8B"/>
    <w:rsid w:val="467C16FA"/>
    <w:rsid w:val="46842633"/>
    <w:rsid w:val="46875964"/>
    <w:rsid w:val="46894B18"/>
    <w:rsid w:val="469448C6"/>
    <w:rsid w:val="469E47A2"/>
    <w:rsid w:val="46AB0067"/>
    <w:rsid w:val="46AD2069"/>
    <w:rsid w:val="46B80AF8"/>
    <w:rsid w:val="46D37F0B"/>
    <w:rsid w:val="46D6030E"/>
    <w:rsid w:val="46D71533"/>
    <w:rsid w:val="46E53335"/>
    <w:rsid w:val="46E544E3"/>
    <w:rsid w:val="46E87DBA"/>
    <w:rsid w:val="46EE15F6"/>
    <w:rsid w:val="46EE2CC7"/>
    <w:rsid w:val="46FA7468"/>
    <w:rsid w:val="470F7B86"/>
    <w:rsid w:val="47155D89"/>
    <w:rsid w:val="472F0207"/>
    <w:rsid w:val="473069AF"/>
    <w:rsid w:val="47356ECD"/>
    <w:rsid w:val="474A0EAF"/>
    <w:rsid w:val="474E50BE"/>
    <w:rsid w:val="47523FA0"/>
    <w:rsid w:val="476700F2"/>
    <w:rsid w:val="47696F9C"/>
    <w:rsid w:val="47714F1F"/>
    <w:rsid w:val="47725A17"/>
    <w:rsid w:val="47756A03"/>
    <w:rsid w:val="477D3243"/>
    <w:rsid w:val="478821A1"/>
    <w:rsid w:val="478A0BD9"/>
    <w:rsid w:val="478D3694"/>
    <w:rsid w:val="479128A9"/>
    <w:rsid w:val="47956820"/>
    <w:rsid w:val="47975EDC"/>
    <w:rsid w:val="47983B19"/>
    <w:rsid w:val="479D1DB0"/>
    <w:rsid w:val="479E2C8A"/>
    <w:rsid w:val="47A3609D"/>
    <w:rsid w:val="47C01792"/>
    <w:rsid w:val="47C57A48"/>
    <w:rsid w:val="47D511BD"/>
    <w:rsid w:val="47F51975"/>
    <w:rsid w:val="4808150F"/>
    <w:rsid w:val="480F51A8"/>
    <w:rsid w:val="481604F9"/>
    <w:rsid w:val="481A006F"/>
    <w:rsid w:val="48256B1B"/>
    <w:rsid w:val="48282713"/>
    <w:rsid w:val="482A6E62"/>
    <w:rsid w:val="482F2437"/>
    <w:rsid w:val="48400757"/>
    <w:rsid w:val="484417FA"/>
    <w:rsid w:val="48450ECE"/>
    <w:rsid w:val="484759CD"/>
    <w:rsid w:val="484B14EC"/>
    <w:rsid w:val="48602710"/>
    <w:rsid w:val="48713351"/>
    <w:rsid w:val="48725C43"/>
    <w:rsid w:val="48802846"/>
    <w:rsid w:val="488260F9"/>
    <w:rsid w:val="48850157"/>
    <w:rsid w:val="48A4573B"/>
    <w:rsid w:val="48A71C34"/>
    <w:rsid w:val="48A736CF"/>
    <w:rsid w:val="48B116EA"/>
    <w:rsid w:val="48B74C7A"/>
    <w:rsid w:val="48B95FE2"/>
    <w:rsid w:val="48BE32BF"/>
    <w:rsid w:val="48C11BEB"/>
    <w:rsid w:val="48C354EC"/>
    <w:rsid w:val="48CF1A39"/>
    <w:rsid w:val="48D429DD"/>
    <w:rsid w:val="48E01C77"/>
    <w:rsid w:val="48E22285"/>
    <w:rsid w:val="48E50D90"/>
    <w:rsid w:val="48EB0B49"/>
    <w:rsid w:val="48EB0D16"/>
    <w:rsid w:val="48FA15CC"/>
    <w:rsid w:val="48FF0DD1"/>
    <w:rsid w:val="490F071A"/>
    <w:rsid w:val="491B63DF"/>
    <w:rsid w:val="491D63E9"/>
    <w:rsid w:val="49247EB1"/>
    <w:rsid w:val="49302F0F"/>
    <w:rsid w:val="4932285C"/>
    <w:rsid w:val="49331971"/>
    <w:rsid w:val="49384E02"/>
    <w:rsid w:val="493E2F78"/>
    <w:rsid w:val="493F3A9E"/>
    <w:rsid w:val="495217DF"/>
    <w:rsid w:val="49547ADD"/>
    <w:rsid w:val="4958367A"/>
    <w:rsid w:val="4960425F"/>
    <w:rsid w:val="498A16CD"/>
    <w:rsid w:val="498A7FB5"/>
    <w:rsid w:val="499145D9"/>
    <w:rsid w:val="49A33C27"/>
    <w:rsid w:val="49A750B5"/>
    <w:rsid w:val="49B93B41"/>
    <w:rsid w:val="49BE07DA"/>
    <w:rsid w:val="49C32414"/>
    <w:rsid w:val="49C84AA0"/>
    <w:rsid w:val="49CA7400"/>
    <w:rsid w:val="49D7694D"/>
    <w:rsid w:val="49D87799"/>
    <w:rsid w:val="49E27151"/>
    <w:rsid w:val="49F400AC"/>
    <w:rsid w:val="49F9104E"/>
    <w:rsid w:val="4A0244D3"/>
    <w:rsid w:val="4A1A2EA4"/>
    <w:rsid w:val="4A255046"/>
    <w:rsid w:val="4A2A2AD0"/>
    <w:rsid w:val="4A2E1525"/>
    <w:rsid w:val="4A5A756D"/>
    <w:rsid w:val="4A722B4C"/>
    <w:rsid w:val="4A785772"/>
    <w:rsid w:val="4A7A7433"/>
    <w:rsid w:val="4A842E43"/>
    <w:rsid w:val="4A886D1D"/>
    <w:rsid w:val="4A89105B"/>
    <w:rsid w:val="4A955EEB"/>
    <w:rsid w:val="4AA341CC"/>
    <w:rsid w:val="4AC13295"/>
    <w:rsid w:val="4AC31003"/>
    <w:rsid w:val="4AC40F4C"/>
    <w:rsid w:val="4AC91D29"/>
    <w:rsid w:val="4AD25F33"/>
    <w:rsid w:val="4AD763B8"/>
    <w:rsid w:val="4ADD641F"/>
    <w:rsid w:val="4AE072CB"/>
    <w:rsid w:val="4AE93159"/>
    <w:rsid w:val="4AED65F4"/>
    <w:rsid w:val="4AF02EA1"/>
    <w:rsid w:val="4B0428AF"/>
    <w:rsid w:val="4B174032"/>
    <w:rsid w:val="4B1C3A76"/>
    <w:rsid w:val="4B1D7328"/>
    <w:rsid w:val="4B250CF8"/>
    <w:rsid w:val="4B2873FD"/>
    <w:rsid w:val="4B3D4DE9"/>
    <w:rsid w:val="4B59618C"/>
    <w:rsid w:val="4B5B2C7E"/>
    <w:rsid w:val="4B6A74A5"/>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172533"/>
    <w:rsid w:val="4C1905D9"/>
    <w:rsid w:val="4C2910DF"/>
    <w:rsid w:val="4C2B4DDD"/>
    <w:rsid w:val="4C312198"/>
    <w:rsid w:val="4C336177"/>
    <w:rsid w:val="4C471A55"/>
    <w:rsid w:val="4C562920"/>
    <w:rsid w:val="4C5D1F92"/>
    <w:rsid w:val="4C603F16"/>
    <w:rsid w:val="4C6262E0"/>
    <w:rsid w:val="4C6703A3"/>
    <w:rsid w:val="4C6D7518"/>
    <w:rsid w:val="4C8C1682"/>
    <w:rsid w:val="4C923A72"/>
    <w:rsid w:val="4CAB3057"/>
    <w:rsid w:val="4CB531CC"/>
    <w:rsid w:val="4CB80C32"/>
    <w:rsid w:val="4CB96B0F"/>
    <w:rsid w:val="4CBD582C"/>
    <w:rsid w:val="4CC21369"/>
    <w:rsid w:val="4CD1735E"/>
    <w:rsid w:val="4CDF165F"/>
    <w:rsid w:val="4CE34E9F"/>
    <w:rsid w:val="4CF52D94"/>
    <w:rsid w:val="4D075911"/>
    <w:rsid w:val="4D0C6B0F"/>
    <w:rsid w:val="4D1216BD"/>
    <w:rsid w:val="4D231A3E"/>
    <w:rsid w:val="4D2822A5"/>
    <w:rsid w:val="4D3C254D"/>
    <w:rsid w:val="4D4001E4"/>
    <w:rsid w:val="4D462159"/>
    <w:rsid w:val="4D47409F"/>
    <w:rsid w:val="4D525BE3"/>
    <w:rsid w:val="4D566017"/>
    <w:rsid w:val="4D6022FC"/>
    <w:rsid w:val="4D6748C7"/>
    <w:rsid w:val="4D7D3EFB"/>
    <w:rsid w:val="4D883EF9"/>
    <w:rsid w:val="4D8B0123"/>
    <w:rsid w:val="4D907392"/>
    <w:rsid w:val="4D940DD6"/>
    <w:rsid w:val="4D9A37B9"/>
    <w:rsid w:val="4DAE4B1E"/>
    <w:rsid w:val="4DAF14C5"/>
    <w:rsid w:val="4DB9067A"/>
    <w:rsid w:val="4DC605B6"/>
    <w:rsid w:val="4DD732D2"/>
    <w:rsid w:val="4DEC0985"/>
    <w:rsid w:val="4E000105"/>
    <w:rsid w:val="4E0538A3"/>
    <w:rsid w:val="4E0E6818"/>
    <w:rsid w:val="4E27683A"/>
    <w:rsid w:val="4E321D35"/>
    <w:rsid w:val="4E397241"/>
    <w:rsid w:val="4E3C1DE4"/>
    <w:rsid w:val="4E464E00"/>
    <w:rsid w:val="4E4B2E60"/>
    <w:rsid w:val="4E4C50A3"/>
    <w:rsid w:val="4E510698"/>
    <w:rsid w:val="4E576363"/>
    <w:rsid w:val="4E59789B"/>
    <w:rsid w:val="4E5D49B1"/>
    <w:rsid w:val="4E635567"/>
    <w:rsid w:val="4E674786"/>
    <w:rsid w:val="4E6D0F25"/>
    <w:rsid w:val="4E6F309C"/>
    <w:rsid w:val="4E710F05"/>
    <w:rsid w:val="4E742982"/>
    <w:rsid w:val="4E7F1E8F"/>
    <w:rsid w:val="4E862481"/>
    <w:rsid w:val="4E8C4141"/>
    <w:rsid w:val="4E901714"/>
    <w:rsid w:val="4E93511F"/>
    <w:rsid w:val="4E9B4432"/>
    <w:rsid w:val="4E9C0636"/>
    <w:rsid w:val="4E9D29FB"/>
    <w:rsid w:val="4EA30DB6"/>
    <w:rsid w:val="4EA7341F"/>
    <w:rsid w:val="4EB35A3D"/>
    <w:rsid w:val="4EB923F3"/>
    <w:rsid w:val="4ECD2AFD"/>
    <w:rsid w:val="4EDB58B2"/>
    <w:rsid w:val="4EE925CE"/>
    <w:rsid w:val="4EEB1A94"/>
    <w:rsid w:val="4EEF2E30"/>
    <w:rsid w:val="4EF24828"/>
    <w:rsid w:val="4EFE7F59"/>
    <w:rsid w:val="4F0557AF"/>
    <w:rsid w:val="4F285975"/>
    <w:rsid w:val="4F2A1A96"/>
    <w:rsid w:val="4F2A7BF3"/>
    <w:rsid w:val="4F2E2624"/>
    <w:rsid w:val="4F324168"/>
    <w:rsid w:val="4F4E1077"/>
    <w:rsid w:val="4F546156"/>
    <w:rsid w:val="4F5B6F39"/>
    <w:rsid w:val="4F621F24"/>
    <w:rsid w:val="4F64780B"/>
    <w:rsid w:val="4F844A99"/>
    <w:rsid w:val="4F94662C"/>
    <w:rsid w:val="4FAB774E"/>
    <w:rsid w:val="4FB00163"/>
    <w:rsid w:val="4FB208E7"/>
    <w:rsid w:val="4FB47CBB"/>
    <w:rsid w:val="4FE30332"/>
    <w:rsid w:val="4FE70BB4"/>
    <w:rsid w:val="4FE73C01"/>
    <w:rsid w:val="4FE76D51"/>
    <w:rsid w:val="4FE87C31"/>
    <w:rsid w:val="4FF03F98"/>
    <w:rsid w:val="4FF14DCF"/>
    <w:rsid w:val="4FF62B3F"/>
    <w:rsid w:val="50062EF6"/>
    <w:rsid w:val="5008113B"/>
    <w:rsid w:val="500815B6"/>
    <w:rsid w:val="500A7223"/>
    <w:rsid w:val="500B39BC"/>
    <w:rsid w:val="500C204A"/>
    <w:rsid w:val="501502DD"/>
    <w:rsid w:val="501A2172"/>
    <w:rsid w:val="502173F8"/>
    <w:rsid w:val="5022123F"/>
    <w:rsid w:val="502B7315"/>
    <w:rsid w:val="503E570B"/>
    <w:rsid w:val="503F32CF"/>
    <w:rsid w:val="503F62FD"/>
    <w:rsid w:val="5041152A"/>
    <w:rsid w:val="504A1A7A"/>
    <w:rsid w:val="504C77D2"/>
    <w:rsid w:val="50560460"/>
    <w:rsid w:val="50601A5C"/>
    <w:rsid w:val="507055F2"/>
    <w:rsid w:val="507E1B25"/>
    <w:rsid w:val="508E3B94"/>
    <w:rsid w:val="508E4492"/>
    <w:rsid w:val="5090223F"/>
    <w:rsid w:val="50924591"/>
    <w:rsid w:val="50943125"/>
    <w:rsid w:val="50A578DE"/>
    <w:rsid w:val="50A649F5"/>
    <w:rsid w:val="50AB5EB6"/>
    <w:rsid w:val="50AD494C"/>
    <w:rsid w:val="50AE6FE2"/>
    <w:rsid w:val="50B16618"/>
    <w:rsid w:val="50B52FB2"/>
    <w:rsid w:val="50BB6306"/>
    <w:rsid w:val="50C12EDC"/>
    <w:rsid w:val="50CD2E4B"/>
    <w:rsid w:val="50D8533B"/>
    <w:rsid w:val="50DA0A9E"/>
    <w:rsid w:val="50E11109"/>
    <w:rsid w:val="50ED21B8"/>
    <w:rsid w:val="50F31CB9"/>
    <w:rsid w:val="50F66F3D"/>
    <w:rsid w:val="50F8688B"/>
    <w:rsid w:val="50FC4E36"/>
    <w:rsid w:val="51002FFC"/>
    <w:rsid w:val="5105169B"/>
    <w:rsid w:val="51062881"/>
    <w:rsid w:val="510861B3"/>
    <w:rsid w:val="510956BD"/>
    <w:rsid w:val="5114696C"/>
    <w:rsid w:val="5121766A"/>
    <w:rsid w:val="51230220"/>
    <w:rsid w:val="513E7AC2"/>
    <w:rsid w:val="513F6CC6"/>
    <w:rsid w:val="51471753"/>
    <w:rsid w:val="514E4912"/>
    <w:rsid w:val="515400FF"/>
    <w:rsid w:val="515441FE"/>
    <w:rsid w:val="515D735D"/>
    <w:rsid w:val="5161556E"/>
    <w:rsid w:val="51631E12"/>
    <w:rsid w:val="516A5418"/>
    <w:rsid w:val="516F4764"/>
    <w:rsid w:val="51781A83"/>
    <w:rsid w:val="51867298"/>
    <w:rsid w:val="51894D69"/>
    <w:rsid w:val="518D21E1"/>
    <w:rsid w:val="518E6224"/>
    <w:rsid w:val="51930297"/>
    <w:rsid w:val="51953936"/>
    <w:rsid w:val="519E116A"/>
    <w:rsid w:val="51A2793A"/>
    <w:rsid w:val="51AF3CDC"/>
    <w:rsid w:val="51B10868"/>
    <w:rsid w:val="51B71820"/>
    <w:rsid w:val="51BA0CB7"/>
    <w:rsid w:val="51CA4619"/>
    <w:rsid w:val="51D129CA"/>
    <w:rsid w:val="51D75253"/>
    <w:rsid w:val="51D93F8A"/>
    <w:rsid w:val="51E5046A"/>
    <w:rsid w:val="51F6353C"/>
    <w:rsid w:val="520D7B42"/>
    <w:rsid w:val="52175F05"/>
    <w:rsid w:val="52272B85"/>
    <w:rsid w:val="52284E31"/>
    <w:rsid w:val="522A5519"/>
    <w:rsid w:val="52351A7E"/>
    <w:rsid w:val="523E09B5"/>
    <w:rsid w:val="524053B4"/>
    <w:rsid w:val="52431715"/>
    <w:rsid w:val="52687B2A"/>
    <w:rsid w:val="526E0E82"/>
    <w:rsid w:val="527901C6"/>
    <w:rsid w:val="528241AF"/>
    <w:rsid w:val="52831D64"/>
    <w:rsid w:val="528F4A24"/>
    <w:rsid w:val="52944BB6"/>
    <w:rsid w:val="529C012B"/>
    <w:rsid w:val="52A24532"/>
    <w:rsid w:val="52A611A1"/>
    <w:rsid w:val="52A72906"/>
    <w:rsid w:val="52AB02F9"/>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C3F9F"/>
    <w:rsid w:val="531F7431"/>
    <w:rsid w:val="532F77EA"/>
    <w:rsid w:val="53367575"/>
    <w:rsid w:val="533933AA"/>
    <w:rsid w:val="533B7F54"/>
    <w:rsid w:val="533D2D66"/>
    <w:rsid w:val="535009E1"/>
    <w:rsid w:val="53650168"/>
    <w:rsid w:val="53665DA9"/>
    <w:rsid w:val="536C2A29"/>
    <w:rsid w:val="536E571F"/>
    <w:rsid w:val="538859E4"/>
    <w:rsid w:val="538E3092"/>
    <w:rsid w:val="53902F6B"/>
    <w:rsid w:val="539F394B"/>
    <w:rsid w:val="53A20FFA"/>
    <w:rsid w:val="53A233E4"/>
    <w:rsid w:val="53A63AE8"/>
    <w:rsid w:val="53A94C48"/>
    <w:rsid w:val="53AA7BC7"/>
    <w:rsid w:val="53AE5EA5"/>
    <w:rsid w:val="53B00B1F"/>
    <w:rsid w:val="53B2409D"/>
    <w:rsid w:val="53B31E73"/>
    <w:rsid w:val="53BD0731"/>
    <w:rsid w:val="53BF4252"/>
    <w:rsid w:val="53D5647F"/>
    <w:rsid w:val="53D6247A"/>
    <w:rsid w:val="53DB3477"/>
    <w:rsid w:val="53DE00FF"/>
    <w:rsid w:val="53E656AF"/>
    <w:rsid w:val="53E77CBF"/>
    <w:rsid w:val="53FE3C83"/>
    <w:rsid w:val="53FE7128"/>
    <w:rsid w:val="54201800"/>
    <w:rsid w:val="54247F22"/>
    <w:rsid w:val="5427150F"/>
    <w:rsid w:val="542B1B24"/>
    <w:rsid w:val="542B76D0"/>
    <w:rsid w:val="542C29CD"/>
    <w:rsid w:val="542F1551"/>
    <w:rsid w:val="54381756"/>
    <w:rsid w:val="545750B7"/>
    <w:rsid w:val="545A1EBF"/>
    <w:rsid w:val="545E39AA"/>
    <w:rsid w:val="54602EAD"/>
    <w:rsid w:val="5460437B"/>
    <w:rsid w:val="54727478"/>
    <w:rsid w:val="54B06F11"/>
    <w:rsid w:val="54B56DF4"/>
    <w:rsid w:val="54B93943"/>
    <w:rsid w:val="54BE5578"/>
    <w:rsid w:val="54BF52B5"/>
    <w:rsid w:val="54D202CA"/>
    <w:rsid w:val="54D54E59"/>
    <w:rsid w:val="54DD41DB"/>
    <w:rsid w:val="54ED3D78"/>
    <w:rsid w:val="54F0664A"/>
    <w:rsid w:val="54F52BA3"/>
    <w:rsid w:val="54F54E04"/>
    <w:rsid w:val="54FD1E28"/>
    <w:rsid w:val="54FE31BD"/>
    <w:rsid w:val="550B4121"/>
    <w:rsid w:val="550D5CFC"/>
    <w:rsid w:val="550F3357"/>
    <w:rsid w:val="55126CC5"/>
    <w:rsid w:val="55197997"/>
    <w:rsid w:val="551A4479"/>
    <w:rsid w:val="551B7F0A"/>
    <w:rsid w:val="552A6B56"/>
    <w:rsid w:val="55314F13"/>
    <w:rsid w:val="5532385A"/>
    <w:rsid w:val="55333717"/>
    <w:rsid w:val="55381D42"/>
    <w:rsid w:val="55401B14"/>
    <w:rsid w:val="554748F2"/>
    <w:rsid w:val="554D414C"/>
    <w:rsid w:val="554E7279"/>
    <w:rsid w:val="55594FFB"/>
    <w:rsid w:val="55637CEB"/>
    <w:rsid w:val="55677DDA"/>
    <w:rsid w:val="556A71C0"/>
    <w:rsid w:val="55757FB9"/>
    <w:rsid w:val="55884237"/>
    <w:rsid w:val="558B1E31"/>
    <w:rsid w:val="558C7FAA"/>
    <w:rsid w:val="55900510"/>
    <w:rsid w:val="55947881"/>
    <w:rsid w:val="55A25EB7"/>
    <w:rsid w:val="55A82784"/>
    <w:rsid w:val="55A97512"/>
    <w:rsid w:val="55B524B9"/>
    <w:rsid w:val="55B63FD5"/>
    <w:rsid w:val="55C35A76"/>
    <w:rsid w:val="55D40743"/>
    <w:rsid w:val="55DD6F2A"/>
    <w:rsid w:val="55E73480"/>
    <w:rsid w:val="55E8339E"/>
    <w:rsid w:val="55F06771"/>
    <w:rsid w:val="560C022B"/>
    <w:rsid w:val="560D5F48"/>
    <w:rsid w:val="56106284"/>
    <w:rsid w:val="56182852"/>
    <w:rsid w:val="5632642A"/>
    <w:rsid w:val="56375B61"/>
    <w:rsid w:val="564944F4"/>
    <w:rsid w:val="564E5820"/>
    <w:rsid w:val="565104C5"/>
    <w:rsid w:val="56630C00"/>
    <w:rsid w:val="56721038"/>
    <w:rsid w:val="567739D2"/>
    <w:rsid w:val="56775A0A"/>
    <w:rsid w:val="5686536D"/>
    <w:rsid w:val="568B1DB1"/>
    <w:rsid w:val="56A54BEB"/>
    <w:rsid w:val="56A55214"/>
    <w:rsid w:val="56A67978"/>
    <w:rsid w:val="56A76AA3"/>
    <w:rsid w:val="56AC63C5"/>
    <w:rsid w:val="56BD159E"/>
    <w:rsid w:val="56C1700B"/>
    <w:rsid w:val="56C56513"/>
    <w:rsid w:val="56CF48FB"/>
    <w:rsid w:val="56D25618"/>
    <w:rsid w:val="56D5675C"/>
    <w:rsid w:val="56D7644B"/>
    <w:rsid w:val="56E373D5"/>
    <w:rsid w:val="56E81FA0"/>
    <w:rsid w:val="56E84A97"/>
    <w:rsid w:val="56F05010"/>
    <w:rsid w:val="56FB2A68"/>
    <w:rsid w:val="57011F3E"/>
    <w:rsid w:val="57050D7B"/>
    <w:rsid w:val="5705646B"/>
    <w:rsid w:val="57060649"/>
    <w:rsid w:val="572657E3"/>
    <w:rsid w:val="572A4818"/>
    <w:rsid w:val="5732705F"/>
    <w:rsid w:val="57351D6F"/>
    <w:rsid w:val="573B7F99"/>
    <w:rsid w:val="576476C1"/>
    <w:rsid w:val="576E1940"/>
    <w:rsid w:val="57756BF9"/>
    <w:rsid w:val="57770501"/>
    <w:rsid w:val="577B3337"/>
    <w:rsid w:val="577D4F28"/>
    <w:rsid w:val="578B1816"/>
    <w:rsid w:val="57A33734"/>
    <w:rsid w:val="57AB6ADD"/>
    <w:rsid w:val="57B7178E"/>
    <w:rsid w:val="57B76EED"/>
    <w:rsid w:val="57BD72A7"/>
    <w:rsid w:val="57BE5838"/>
    <w:rsid w:val="57BF764E"/>
    <w:rsid w:val="57CB35DF"/>
    <w:rsid w:val="57D82354"/>
    <w:rsid w:val="57F05993"/>
    <w:rsid w:val="57FC0156"/>
    <w:rsid w:val="57FC07D9"/>
    <w:rsid w:val="57FF6992"/>
    <w:rsid w:val="58036FF1"/>
    <w:rsid w:val="580F1B21"/>
    <w:rsid w:val="581B7E79"/>
    <w:rsid w:val="5837438C"/>
    <w:rsid w:val="58420FA1"/>
    <w:rsid w:val="58500F22"/>
    <w:rsid w:val="58587379"/>
    <w:rsid w:val="585D72B5"/>
    <w:rsid w:val="586D57A3"/>
    <w:rsid w:val="587917A0"/>
    <w:rsid w:val="587A4288"/>
    <w:rsid w:val="587B39E5"/>
    <w:rsid w:val="5880052B"/>
    <w:rsid w:val="588D2359"/>
    <w:rsid w:val="588E3967"/>
    <w:rsid w:val="589E7444"/>
    <w:rsid w:val="58AD27D9"/>
    <w:rsid w:val="58B169A2"/>
    <w:rsid w:val="58B9636C"/>
    <w:rsid w:val="58C37133"/>
    <w:rsid w:val="58C93046"/>
    <w:rsid w:val="58D36BCB"/>
    <w:rsid w:val="58D8157C"/>
    <w:rsid w:val="58E11166"/>
    <w:rsid w:val="58E60CD3"/>
    <w:rsid w:val="58E6349C"/>
    <w:rsid w:val="58E83DEC"/>
    <w:rsid w:val="58EF63EE"/>
    <w:rsid w:val="590317F0"/>
    <w:rsid w:val="59075000"/>
    <w:rsid w:val="593559FD"/>
    <w:rsid w:val="593A4D15"/>
    <w:rsid w:val="594079B2"/>
    <w:rsid w:val="595B45EE"/>
    <w:rsid w:val="595C4A81"/>
    <w:rsid w:val="596A688E"/>
    <w:rsid w:val="59860400"/>
    <w:rsid w:val="5987482A"/>
    <w:rsid w:val="598A58C2"/>
    <w:rsid w:val="598C6F19"/>
    <w:rsid w:val="599C49A8"/>
    <w:rsid w:val="59A252D5"/>
    <w:rsid w:val="59A36725"/>
    <w:rsid w:val="59AD4E2E"/>
    <w:rsid w:val="59B14918"/>
    <w:rsid w:val="59B21BF9"/>
    <w:rsid w:val="59B37D53"/>
    <w:rsid w:val="59B80C41"/>
    <w:rsid w:val="59BB4EA3"/>
    <w:rsid w:val="59CF6340"/>
    <w:rsid w:val="59E85675"/>
    <w:rsid w:val="59E9525B"/>
    <w:rsid w:val="59F70BAF"/>
    <w:rsid w:val="5A0627A6"/>
    <w:rsid w:val="5A297D0D"/>
    <w:rsid w:val="5A3C0F08"/>
    <w:rsid w:val="5A3E5B83"/>
    <w:rsid w:val="5A50588C"/>
    <w:rsid w:val="5A5663A3"/>
    <w:rsid w:val="5A5706C7"/>
    <w:rsid w:val="5A571746"/>
    <w:rsid w:val="5A594793"/>
    <w:rsid w:val="5A5B6E89"/>
    <w:rsid w:val="5A6253E3"/>
    <w:rsid w:val="5A641DE9"/>
    <w:rsid w:val="5A687FE8"/>
    <w:rsid w:val="5A746DF6"/>
    <w:rsid w:val="5A8E6670"/>
    <w:rsid w:val="5A912613"/>
    <w:rsid w:val="5A9245E9"/>
    <w:rsid w:val="5A953D41"/>
    <w:rsid w:val="5AA12940"/>
    <w:rsid w:val="5AA75D85"/>
    <w:rsid w:val="5AB422AB"/>
    <w:rsid w:val="5AB7299D"/>
    <w:rsid w:val="5ABC50F4"/>
    <w:rsid w:val="5ACC4940"/>
    <w:rsid w:val="5ACD3CD2"/>
    <w:rsid w:val="5AD7333E"/>
    <w:rsid w:val="5AD86A6D"/>
    <w:rsid w:val="5ADF4325"/>
    <w:rsid w:val="5AE8708E"/>
    <w:rsid w:val="5AEB6283"/>
    <w:rsid w:val="5AEC14F6"/>
    <w:rsid w:val="5AF124A4"/>
    <w:rsid w:val="5B0A4D6B"/>
    <w:rsid w:val="5B141085"/>
    <w:rsid w:val="5B266C40"/>
    <w:rsid w:val="5B28192B"/>
    <w:rsid w:val="5B342BAD"/>
    <w:rsid w:val="5B392581"/>
    <w:rsid w:val="5B4007EF"/>
    <w:rsid w:val="5B4D1F7C"/>
    <w:rsid w:val="5B4F2C49"/>
    <w:rsid w:val="5B51561D"/>
    <w:rsid w:val="5B570E24"/>
    <w:rsid w:val="5B607711"/>
    <w:rsid w:val="5B637E94"/>
    <w:rsid w:val="5B66707B"/>
    <w:rsid w:val="5B673066"/>
    <w:rsid w:val="5B6A48A8"/>
    <w:rsid w:val="5B731FA9"/>
    <w:rsid w:val="5B7400F5"/>
    <w:rsid w:val="5B785E83"/>
    <w:rsid w:val="5B7C1CD1"/>
    <w:rsid w:val="5B9004A9"/>
    <w:rsid w:val="5B907C6C"/>
    <w:rsid w:val="5B9251EF"/>
    <w:rsid w:val="5BAB5BC4"/>
    <w:rsid w:val="5BAC79AD"/>
    <w:rsid w:val="5BB04310"/>
    <w:rsid w:val="5BB20B74"/>
    <w:rsid w:val="5BB33170"/>
    <w:rsid w:val="5BC677D8"/>
    <w:rsid w:val="5BD0669E"/>
    <w:rsid w:val="5BEB0120"/>
    <w:rsid w:val="5BEC175C"/>
    <w:rsid w:val="5BEF3E44"/>
    <w:rsid w:val="5BEF69FF"/>
    <w:rsid w:val="5C053E62"/>
    <w:rsid w:val="5C064BA0"/>
    <w:rsid w:val="5C07067E"/>
    <w:rsid w:val="5C075BB6"/>
    <w:rsid w:val="5C097C4E"/>
    <w:rsid w:val="5C1A3A93"/>
    <w:rsid w:val="5C1C3059"/>
    <w:rsid w:val="5C235386"/>
    <w:rsid w:val="5C2A4E9F"/>
    <w:rsid w:val="5C3138F7"/>
    <w:rsid w:val="5C37782E"/>
    <w:rsid w:val="5C3B6CFC"/>
    <w:rsid w:val="5C4735D5"/>
    <w:rsid w:val="5C4C2CF4"/>
    <w:rsid w:val="5C5E6BCC"/>
    <w:rsid w:val="5C6B1600"/>
    <w:rsid w:val="5C6E26BF"/>
    <w:rsid w:val="5C706511"/>
    <w:rsid w:val="5C7D70D1"/>
    <w:rsid w:val="5C8542A8"/>
    <w:rsid w:val="5C8A64E1"/>
    <w:rsid w:val="5C93251D"/>
    <w:rsid w:val="5CA6294E"/>
    <w:rsid w:val="5CCC1DEC"/>
    <w:rsid w:val="5CDB3358"/>
    <w:rsid w:val="5CED4E0C"/>
    <w:rsid w:val="5CEE1DD1"/>
    <w:rsid w:val="5CFB31F2"/>
    <w:rsid w:val="5CFF09AB"/>
    <w:rsid w:val="5D034EE9"/>
    <w:rsid w:val="5D0366E8"/>
    <w:rsid w:val="5D08684C"/>
    <w:rsid w:val="5D0A06B6"/>
    <w:rsid w:val="5D1307E8"/>
    <w:rsid w:val="5D212A05"/>
    <w:rsid w:val="5D28584C"/>
    <w:rsid w:val="5D2F4802"/>
    <w:rsid w:val="5D32239D"/>
    <w:rsid w:val="5D3444E6"/>
    <w:rsid w:val="5D3543FB"/>
    <w:rsid w:val="5D3F0BDF"/>
    <w:rsid w:val="5D5B7098"/>
    <w:rsid w:val="5D5D62C9"/>
    <w:rsid w:val="5D611B66"/>
    <w:rsid w:val="5D634782"/>
    <w:rsid w:val="5D654194"/>
    <w:rsid w:val="5D6E1B86"/>
    <w:rsid w:val="5D725A84"/>
    <w:rsid w:val="5D746389"/>
    <w:rsid w:val="5D7706E8"/>
    <w:rsid w:val="5D7D3801"/>
    <w:rsid w:val="5D8A2CFF"/>
    <w:rsid w:val="5D8B6E21"/>
    <w:rsid w:val="5D960EE9"/>
    <w:rsid w:val="5D9A0CFA"/>
    <w:rsid w:val="5D9B296A"/>
    <w:rsid w:val="5D9C251B"/>
    <w:rsid w:val="5DA53D05"/>
    <w:rsid w:val="5DB33A5E"/>
    <w:rsid w:val="5DB765B6"/>
    <w:rsid w:val="5DC848B4"/>
    <w:rsid w:val="5DD14397"/>
    <w:rsid w:val="5DD3123F"/>
    <w:rsid w:val="5DD45E00"/>
    <w:rsid w:val="5DD564E5"/>
    <w:rsid w:val="5DD71C7A"/>
    <w:rsid w:val="5DD734EC"/>
    <w:rsid w:val="5DDA4F5F"/>
    <w:rsid w:val="5DDF6E6E"/>
    <w:rsid w:val="5DEC05A1"/>
    <w:rsid w:val="5DEE0433"/>
    <w:rsid w:val="5DFD51DB"/>
    <w:rsid w:val="5E075745"/>
    <w:rsid w:val="5E0B017F"/>
    <w:rsid w:val="5E0B0848"/>
    <w:rsid w:val="5E1D4A67"/>
    <w:rsid w:val="5E1F2E4C"/>
    <w:rsid w:val="5E237029"/>
    <w:rsid w:val="5E3358BB"/>
    <w:rsid w:val="5E3A3BD1"/>
    <w:rsid w:val="5E4E2212"/>
    <w:rsid w:val="5E4F1C2F"/>
    <w:rsid w:val="5E4F4B48"/>
    <w:rsid w:val="5E5203B8"/>
    <w:rsid w:val="5E53474B"/>
    <w:rsid w:val="5E5D2503"/>
    <w:rsid w:val="5E5D7D0E"/>
    <w:rsid w:val="5E603923"/>
    <w:rsid w:val="5E6A5399"/>
    <w:rsid w:val="5E71373F"/>
    <w:rsid w:val="5E717191"/>
    <w:rsid w:val="5E7435D2"/>
    <w:rsid w:val="5E830708"/>
    <w:rsid w:val="5E831398"/>
    <w:rsid w:val="5E85633A"/>
    <w:rsid w:val="5E921A45"/>
    <w:rsid w:val="5E975993"/>
    <w:rsid w:val="5E9C615A"/>
    <w:rsid w:val="5EA75DFF"/>
    <w:rsid w:val="5EB51FDE"/>
    <w:rsid w:val="5EBA4472"/>
    <w:rsid w:val="5EC3227D"/>
    <w:rsid w:val="5EC504C9"/>
    <w:rsid w:val="5EC93320"/>
    <w:rsid w:val="5ECA3D37"/>
    <w:rsid w:val="5EE153F8"/>
    <w:rsid w:val="5EE836CB"/>
    <w:rsid w:val="5EEA322F"/>
    <w:rsid w:val="5EEC3D5B"/>
    <w:rsid w:val="5EED7893"/>
    <w:rsid w:val="5EF427A1"/>
    <w:rsid w:val="5EFB2125"/>
    <w:rsid w:val="5EFB6F0A"/>
    <w:rsid w:val="5F0A3A61"/>
    <w:rsid w:val="5F114A3D"/>
    <w:rsid w:val="5F3370DF"/>
    <w:rsid w:val="5F683B6E"/>
    <w:rsid w:val="5F684490"/>
    <w:rsid w:val="5F697EE8"/>
    <w:rsid w:val="5F6D06D6"/>
    <w:rsid w:val="5F6E768C"/>
    <w:rsid w:val="5F875C0C"/>
    <w:rsid w:val="5F8A0701"/>
    <w:rsid w:val="5F8F0B9E"/>
    <w:rsid w:val="5F8F267A"/>
    <w:rsid w:val="5F941274"/>
    <w:rsid w:val="5F99518A"/>
    <w:rsid w:val="5F9A540B"/>
    <w:rsid w:val="5FAB7F08"/>
    <w:rsid w:val="5FB7185B"/>
    <w:rsid w:val="5FB94C48"/>
    <w:rsid w:val="5FBE576C"/>
    <w:rsid w:val="5FDE327E"/>
    <w:rsid w:val="5FE11DB4"/>
    <w:rsid w:val="5FEB4E90"/>
    <w:rsid w:val="5FF06848"/>
    <w:rsid w:val="5FF37587"/>
    <w:rsid w:val="5FF85D1E"/>
    <w:rsid w:val="5FFE57B7"/>
    <w:rsid w:val="60060CD5"/>
    <w:rsid w:val="60085AA3"/>
    <w:rsid w:val="600E362B"/>
    <w:rsid w:val="60183392"/>
    <w:rsid w:val="601A4CB1"/>
    <w:rsid w:val="601B56CB"/>
    <w:rsid w:val="60237FFC"/>
    <w:rsid w:val="602C236D"/>
    <w:rsid w:val="6030460F"/>
    <w:rsid w:val="603114E4"/>
    <w:rsid w:val="603967D7"/>
    <w:rsid w:val="603D3325"/>
    <w:rsid w:val="604040A8"/>
    <w:rsid w:val="60470CE3"/>
    <w:rsid w:val="604775D7"/>
    <w:rsid w:val="60485D19"/>
    <w:rsid w:val="604D29BA"/>
    <w:rsid w:val="606711B4"/>
    <w:rsid w:val="60673C40"/>
    <w:rsid w:val="606A52D4"/>
    <w:rsid w:val="606C5678"/>
    <w:rsid w:val="60786184"/>
    <w:rsid w:val="607A0897"/>
    <w:rsid w:val="607C3753"/>
    <w:rsid w:val="607F6EAB"/>
    <w:rsid w:val="60824F37"/>
    <w:rsid w:val="608D1D4E"/>
    <w:rsid w:val="608D5C53"/>
    <w:rsid w:val="60911FEF"/>
    <w:rsid w:val="60923D36"/>
    <w:rsid w:val="6092569C"/>
    <w:rsid w:val="609D0F5A"/>
    <w:rsid w:val="60AC72CC"/>
    <w:rsid w:val="60AD0357"/>
    <w:rsid w:val="60B004BE"/>
    <w:rsid w:val="60B6381B"/>
    <w:rsid w:val="60BA604C"/>
    <w:rsid w:val="60BE348E"/>
    <w:rsid w:val="60C302BA"/>
    <w:rsid w:val="60C30855"/>
    <w:rsid w:val="60C338B1"/>
    <w:rsid w:val="60D4742F"/>
    <w:rsid w:val="60D67C80"/>
    <w:rsid w:val="60D95276"/>
    <w:rsid w:val="60E06DEB"/>
    <w:rsid w:val="60E51841"/>
    <w:rsid w:val="61110088"/>
    <w:rsid w:val="611647A0"/>
    <w:rsid w:val="611D54C0"/>
    <w:rsid w:val="61421EFD"/>
    <w:rsid w:val="614F6F7E"/>
    <w:rsid w:val="615C5041"/>
    <w:rsid w:val="61640524"/>
    <w:rsid w:val="617A6EE7"/>
    <w:rsid w:val="617B616B"/>
    <w:rsid w:val="6182260C"/>
    <w:rsid w:val="6190565E"/>
    <w:rsid w:val="61AA2608"/>
    <w:rsid w:val="61AD68BC"/>
    <w:rsid w:val="61AE786E"/>
    <w:rsid w:val="61B173D2"/>
    <w:rsid w:val="61B25E8F"/>
    <w:rsid w:val="61BC4BE1"/>
    <w:rsid w:val="61C12DE2"/>
    <w:rsid w:val="61D43A2B"/>
    <w:rsid w:val="61E34474"/>
    <w:rsid w:val="61ED6D6A"/>
    <w:rsid w:val="61FF316E"/>
    <w:rsid w:val="62014BDB"/>
    <w:rsid w:val="621542CB"/>
    <w:rsid w:val="621C2930"/>
    <w:rsid w:val="62344A89"/>
    <w:rsid w:val="624263A2"/>
    <w:rsid w:val="625272C3"/>
    <w:rsid w:val="6254750A"/>
    <w:rsid w:val="626A1B4F"/>
    <w:rsid w:val="62715337"/>
    <w:rsid w:val="6280204D"/>
    <w:rsid w:val="62875636"/>
    <w:rsid w:val="6290769B"/>
    <w:rsid w:val="62943D08"/>
    <w:rsid w:val="629718F1"/>
    <w:rsid w:val="62A05735"/>
    <w:rsid w:val="62A411F8"/>
    <w:rsid w:val="62A81A26"/>
    <w:rsid w:val="62B0109F"/>
    <w:rsid w:val="62BA7A46"/>
    <w:rsid w:val="62C376AC"/>
    <w:rsid w:val="62CE13CB"/>
    <w:rsid w:val="62D2197B"/>
    <w:rsid w:val="62DB028F"/>
    <w:rsid w:val="62EE4623"/>
    <w:rsid w:val="62F214BD"/>
    <w:rsid w:val="62F6011A"/>
    <w:rsid w:val="62FD2BA9"/>
    <w:rsid w:val="6327422B"/>
    <w:rsid w:val="6328597C"/>
    <w:rsid w:val="633B249F"/>
    <w:rsid w:val="633D1842"/>
    <w:rsid w:val="635123F0"/>
    <w:rsid w:val="63552D76"/>
    <w:rsid w:val="6359778B"/>
    <w:rsid w:val="635B63E3"/>
    <w:rsid w:val="63677698"/>
    <w:rsid w:val="63771D13"/>
    <w:rsid w:val="638C3395"/>
    <w:rsid w:val="63B37325"/>
    <w:rsid w:val="63B82D87"/>
    <w:rsid w:val="63BA3154"/>
    <w:rsid w:val="63C509F9"/>
    <w:rsid w:val="63CA2E8B"/>
    <w:rsid w:val="63CF097D"/>
    <w:rsid w:val="63D4153E"/>
    <w:rsid w:val="63DA0FA3"/>
    <w:rsid w:val="63DC7755"/>
    <w:rsid w:val="63E43D21"/>
    <w:rsid w:val="63E774B3"/>
    <w:rsid w:val="63F47D2A"/>
    <w:rsid w:val="63F6335E"/>
    <w:rsid w:val="63FE2D33"/>
    <w:rsid w:val="64046427"/>
    <w:rsid w:val="640B5788"/>
    <w:rsid w:val="642369FC"/>
    <w:rsid w:val="64254882"/>
    <w:rsid w:val="64264A79"/>
    <w:rsid w:val="642A38B2"/>
    <w:rsid w:val="64304E58"/>
    <w:rsid w:val="64311867"/>
    <w:rsid w:val="64391ED3"/>
    <w:rsid w:val="6445632E"/>
    <w:rsid w:val="64566F9D"/>
    <w:rsid w:val="64596CB3"/>
    <w:rsid w:val="64742B63"/>
    <w:rsid w:val="647949B0"/>
    <w:rsid w:val="647E661E"/>
    <w:rsid w:val="648939AA"/>
    <w:rsid w:val="648C635C"/>
    <w:rsid w:val="64941876"/>
    <w:rsid w:val="649B1AC2"/>
    <w:rsid w:val="649B4C1C"/>
    <w:rsid w:val="64A70E62"/>
    <w:rsid w:val="64A7467B"/>
    <w:rsid w:val="64B53322"/>
    <w:rsid w:val="64C41B57"/>
    <w:rsid w:val="64C61AF8"/>
    <w:rsid w:val="64C86505"/>
    <w:rsid w:val="64E65F95"/>
    <w:rsid w:val="64EB5728"/>
    <w:rsid w:val="64F92488"/>
    <w:rsid w:val="64FA211B"/>
    <w:rsid w:val="64FB4412"/>
    <w:rsid w:val="64FE700F"/>
    <w:rsid w:val="6500327F"/>
    <w:rsid w:val="6503698F"/>
    <w:rsid w:val="6506609B"/>
    <w:rsid w:val="65083216"/>
    <w:rsid w:val="650A57D3"/>
    <w:rsid w:val="65460728"/>
    <w:rsid w:val="654835A8"/>
    <w:rsid w:val="654C7056"/>
    <w:rsid w:val="65514C2C"/>
    <w:rsid w:val="65733E15"/>
    <w:rsid w:val="65822810"/>
    <w:rsid w:val="65870C45"/>
    <w:rsid w:val="658F6B54"/>
    <w:rsid w:val="659705FF"/>
    <w:rsid w:val="659C60A2"/>
    <w:rsid w:val="65A47504"/>
    <w:rsid w:val="65AA6346"/>
    <w:rsid w:val="65B01B69"/>
    <w:rsid w:val="65B56C47"/>
    <w:rsid w:val="65B7794D"/>
    <w:rsid w:val="65B8262E"/>
    <w:rsid w:val="65BC15EE"/>
    <w:rsid w:val="65D23D59"/>
    <w:rsid w:val="65D4773F"/>
    <w:rsid w:val="65DC5939"/>
    <w:rsid w:val="65DC7985"/>
    <w:rsid w:val="65F14641"/>
    <w:rsid w:val="65F430BA"/>
    <w:rsid w:val="65F5655C"/>
    <w:rsid w:val="65F64F18"/>
    <w:rsid w:val="65FF118E"/>
    <w:rsid w:val="66052F43"/>
    <w:rsid w:val="66065483"/>
    <w:rsid w:val="6609487E"/>
    <w:rsid w:val="6618299D"/>
    <w:rsid w:val="661D25CE"/>
    <w:rsid w:val="66206CF2"/>
    <w:rsid w:val="66265846"/>
    <w:rsid w:val="66287C9C"/>
    <w:rsid w:val="662E4097"/>
    <w:rsid w:val="664805B8"/>
    <w:rsid w:val="665572E9"/>
    <w:rsid w:val="665B14BD"/>
    <w:rsid w:val="665B55EA"/>
    <w:rsid w:val="66600F11"/>
    <w:rsid w:val="66641D58"/>
    <w:rsid w:val="66655F85"/>
    <w:rsid w:val="667C7AEC"/>
    <w:rsid w:val="667F71BA"/>
    <w:rsid w:val="66863A0F"/>
    <w:rsid w:val="66984358"/>
    <w:rsid w:val="669B7C76"/>
    <w:rsid w:val="66A200F8"/>
    <w:rsid w:val="66A205F5"/>
    <w:rsid w:val="66A30EC2"/>
    <w:rsid w:val="66AA4BA8"/>
    <w:rsid w:val="66AC5E7E"/>
    <w:rsid w:val="66B51E22"/>
    <w:rsid w:val="66C56058"/>
    <w:rsid w:val="66C955BD"/>
    <w:rsid w:val="66CF3182"/>
    <w:rsid w:val="66D60CC4"/>
    <w:rsid w:val="66D97420"/>
    <w:rsid w:val="66DC317D"/>
    <w:rsid w:val="66DD5461"/>
    <w:rsid w:val="66E10E78"/>
    <w:rsid w:val="66E617C5"/>
    <w:rsid w:val="66E910C9"/>
    <w:rsid w:val="670C6D27"/>
    <w:rsid w:val="670D67CE"/>
    <w:rsid w:val="67105BAB"/>
    <w:rsid w:val="67150D42"/>
    <w:rsid w:val="671B1631"/>
    <w:rsid w:val="672C45D9"/>
    <w:rsid w:val="67302DC3"/>
    <w:rsid w:val="67316C6B"/>
    <w:rsid w:val="6734198F"/>
    <w:rsid w:val="674318B2"/>
    <w:rsid w:val="674D4B22"/>
    <w:rsid w:val="67570422"/>
    <w:rsid w:val="675C0B01"/>
    <w:rsid w:val="675D31B4"/>
    <w:rsid w:val="67611575"/>
    <w:rsid w:val="676D2F4B"/>
    <w:rsid w:val="676E7C74"/>
    <w:rsid w:val="677A266A"/>
    <w:rsid w:val="677C1A81"/>
    <w:rsid w:val="677E7198"/>
    <w:rsid w:val="678A426A"/>
    <w:rsid w:val="67914BE1"/>
    <w:rsid w:val="679305CA"/>
    <w:rsid w:val="679348FA"/>
    <w:rsid w:val="67A01F16"/>
    <w:rsid w:val="67A2026E"/>
    <w:rsid w:val="67AD0902"/>
    <w:rsid w:val="67B163D1"/>
    <w:rsid w:val="67B21931"/>
    <w:rsid w:val="67CF3BE0"/>
    <w:rsid w:val="67D1123C"/>
    <w:rsid w:val="67DE0B68"/>
    <w:rsid w:val="67E3361A"/>
    <w:rsid w:val="67F45538"/>
    <w:rsid w:val="67F67092"/>
    <w:rsid w:val="68005932"/>
    <w:rsid w:val="680239EB"/>
    <w:rsid w:val="680722DA"/>
    <w:rsid w:val="68075891"/>
    <w:rsid w:val="68096B99"/>
    <w:rsid w:val="681C6C95"/>
    <w:rsid w:val="682211D1"/>
    <w:rsid w:val="68445430"/>
    <w:rsid w:val="685B0620"/>
    <w:rsid w:val="685C6395"/>
    <w:rsid w:val="686318DD"/>
    <w:rsid w:val="68635145"/>
    <w:rsid w:val="686D19A4"/>
    <w:rsid w:val="687914A4"/>
    <w:rsid w:val="687F607E"/>
    <w:rsid w:val="6887281F"/>
    <w:rsid w:val="688B4E92"/>
    <w:rsid w:val="689565AD"/>
    <w:rsid w:val="689A41FB"/>
    <w:rsid w:val="689E57F0"/>
    <w:rsid w:val="68A34C5C"/>
    <w:rsid w:val="68CA6EAF"/>
    <w:rsid w:val="68D10697"/>
    <w:rsid w:val="68D507C6"/>
    <w:rsid w:val="68E24981"/>
    <w:rsid w:val="68E62C62"/>
    <w:rsid w:val="68ED60A5"/>
    <w:rsid w:val="69123F86"/>
    <w:rsid w:val="691C1D81"/>
    <w:rsid w:val="691C3525"/>
    <w:rsid w:val="691C4B46"/>
    <w:rsid w:val="69216128"/>
    <w:rsid w:val="69250799"/>
    <w:rsid w:val="69280874"/>
    <w:rsid w:val="692E74C3"/>
    <w:rsid w:val="69307671"/>
    <w:rsid w:val="695D6B21"/>
    <w:rsid w:val="69611EE7"/>
    <w:rsid w:val="69621F5B"/>
    <w:rsid w:val="696C708E"/>
    <w:rsid w:val="696F4D5D"/>
    <w:rsid w:val="69712405"/>
    <w:rsid w:val="69796AD5"/>
    <w:rsid w:val="69850877"/>
    <w:rsid w:val="698C13C5"/>
    <w:rsid w:val="69C12919"/>
    <w:rsid w:val="69D737C7"/>
    <w:rsid w:val="69EB1E1E"/>
    <w:rsid w:val="69F0745A"/>
    <w:rsid w:val="6A0D20F2"/>
    <w:rsid w:val="6A1757B7"/>
    <w:rsid w:val="6A1A2066"/>
    <w:rsid w:val="6A1D59EC"/>
    <w:rsid w:val="6A247F72"/>
    <w:rsid w:val="6A2E5EF8"/>
    <w:rsid w:val="6A3A6D15"/>
    <w:rsid w:val="6A3E2393"/>
    <w:rsid w:val="6A435B92"/>
    <w:rsid w:val="6A444DB8"/>
    <w:rsid w:val="6A471880"/>
    <w:rsid w:val="6A4C28F4"/>
    <w:rsid w:val="6A4D4828"/>
    <w:rsid w:val="6A516AC3"/>
    <w:rsid w:val="6A5303BA"/>
    <w:rsid w:val="6A5B28ED"/>
    <w:rsid w:val="6A677080"/>
    <w:rsid w:val="6A711183"/>
    <w:rsid w:val="6A720BCF"/>
    <w:rsid w:val="6A7B4B9C"/>
    <w:rsid w:val="6AAE7116"/>
    <w:rsid w:val="6AAF014C"/>
    <w:rsid w:val="6ABD60AB"/>
    <w:rsid w:val="6AC07690"/>
    <w:rsid w:val="6ACB082B"/>
    <w:rsid w:val="6AD3247E"/>
    <w:rsid w:val="6AE4699C"/>
    <w:rsid w:val="6AED1BE8"/>
    <w:rsid w:val="6AF00853"/>
    <w:rsid w:val="6AF317C6"/>
    <w:rsid w:val="6B004C6B"/>
    <w:rsid w:val="6B014632"/>
    <w:rsid w:val="6B0722BD"/>
    <w:rsid w:val="6B09696B"/>
    <w:rsid w:val="6B2B0EFD"/>
    <w:rsid w:val="6B2C13E4"/>
    <w:rsid w:val="6B2D2EEB"/>
    <w:rsid w:val="6B322952"/>
    <w:rsid w:val="6B410613"/>
    <w:rsid w:val="6B493E2C"/>
    <w:rsid w:val="6B4B0A4C"/>
    <w:rsid w:val="6B4B36C9"/>
    <w:rsid w:val="6B4E75E6"/>
    <w:rsid w:val="6B50310B"/>
    <w:rsid w:val="6B5045E2"/>
    <w:rsid w:val="6B5B3B9E"/>
    <w:rsid w:val="6B5C4553"/>
    <w:rsid w:val="6B692897"/>
    <w:rsid w:val="6B695848"/>
    <w:rsid w:val="6B6A1A57"/>
    <w:rsid w:val="6B6D1317"/>
    <w:rsid w:val="6B6F79AA"/>
    <w:rsid w:val="6B730045"/>
    <w:rsid w:val="6B736A2E"/>
    <w:rsid w:val="6B762264"/>
    <w:rsid w:val="6B7964E9"/>
    <w:rsid w:val="6B8642C7"/>
    <w:rsid w:val="6B874340"/>
    <w:rsid w:val="6B884219"/>
    <w:rsid w:val="6B90781F"/>
    <w:rsid w:val="6BA6663C"/>
    <w:rsid w:val="6BA9194F"/>
    <w:rsid w:val="6BB07973"/>
    <w:rsid w:val="6BCA7437"/>
    <w:rsid w:val="6BE71622"/>
    <w:rsid w:val="6BE727F5"/>
    <w:rsid w:val="6C001608"/>
    <w:rsid w:val="6C08064C"/>
    <w:rsid w:val="6C0858B3"/>
    <w:rsid w:val="6C132D21"/>
    <w:rsid w:val="6C14347F"/>
    <w:rsid w:val="6C240DF3"/>
    <w:rsid w:val="6C3977A7"/>
    <w:rsid w:val="6C45610F"/>
    <w:rsid w:val="6C59472D"/>
    <w:rsid w:val="6C5A4564"/>
    <w:rsid w:val="6C603744"/>
    <w:rsid w:val="6C635845"/>
    <w:rsid w:val="6C637CCF"/>
    <w:rsid w:val="6C6B4F91"/>
    <w:rsid w:val="6C7802EB"/>
    <w:rsid w:val="6C78194F"/>
    <w:rsid w:val="6C89456C"/>
    <w:rsid w:val="6C9143CB"/>
    <w:rsid w:val="6CA20D5B"/>
    <w:rsid w:val="6CA75F1D"/>
    <w:rsid w:val="6CAF7564"/>
    <w:rsid w:val="6CB71894"/>
    <w:rsid w:val="6CB91201"/>
    <w:rsid w:val="6CC13ACE"/>
    <w:rsid w:val="6CD63FB3"/>
    <w:rsid w:val="6CD73CDB"/>
    <w:rsid w:val="6CD91323"/>
    <w:rsid w:val="6CFE035F"/>
    <w:rsid w:val="6D056EA6"/>
    <w:rsid w:val="6D1766A9"/>
    <w:rsid w:val="6D19067C"/>
    <w:rsid w:val="6D1F423E"/>
    <w:rsid w:val="6D221E52"/>
    <w:rsid w:val="6D227835"/>
    <w:rsid w:val="6D231354"/>
    <w:rsid w:val="6D2834C8"/>
    <w:rsid w:val="6D2F1F0B"/>
    <w:rsid w:val="6D343A12"/>
    <w:rsid w:val="6D3C6626"/>
    <w:rsid w:val="6D5D0DB5"/>
    <w:rsid w:val="6D6855B1"/>
    <w:rsid w:val="6D6C5D15"/>
    <w:rsid w:val="6D7157A1"/>
    <w:rsid w:val="6D7B4AB7"/>
    <w:rsid w:val="6D836C02"/>
    <w:rsid w:val="6D89784B"/>
    <w:rsid w:val="6D8C7F73"/>
    <w:rsid w:val="6D9057BE"/>
    <w:rsid w:val="6D9E0566"/>
    <w:rsid w:val="6DBE7F27"/>
    <w:rsid w:val="6DC262E7"/>
    <w:rsid w:val="6DD70DD8"/>
    <w:rsid w:val="6DDE1D98"/>
    <w:rsid w:val="6DED1766"/>
    <w:rsid w:val="6DF43BD4"/>
    <w:rsid w:val="6E0E1FAB"/>
    <w:rsid w:val="6E2143FB"/>
    <w:rsid w:val="6E295363"/>
    <w:rsid w:val="6E2F1EE6"/>
    <w:rsid w:val="6E317378"/>
    <w:rsid w:val="6E3A4724"/>
    <w:rsid w:val="6E3E5591"/>
    <w:rsid w:val="6E407C99"/>
    <w:rsid w:val="6E4215C6"/>
    <w:rsid w:val="6E4B0158"/>
    <w:rsid w:val="6E4D611F"/>
    <w:rsid w:val="6E567C9E"/>
    <w:rsid w:val="6E635028"/>
    <w:rsid w:val="6E636A71"/>
    <w:rsid w:val="6E68362E"/>
    <w:rsid w:val="6E685B0A"/>
    <w:rsid w:val="6E687486"/>
    <w:rsid w:val="6E73404A"/>
    <w:rsid w:val="6E7355AA"/>
    <w:rsid w:val="6E7D300B"/>
    <w:rsid w:val="6E823708"/>
    <w:rsid w:val="6E8A3EFB"/>
    <w:rsid w:val="6E920B5B"/>
    <w:rsid w:val="6E990B16"/>
    <w:rsid w:val="6E995AB6"/>
    <w:rsid w:val="6EA80CC5"/>
    <w:rsid w:val="6EAD667E"/>
    <w:rsid w:val="6EB169D3"/>
    <w:rsid w:val="6EB21539"/>
    <w:rsid w:val="6EB829B1"/>
    <w:rsid w:val="6EB978A9"/>
    <w:rsid w:val="6EC7210B"/>
    <w:rsid w:val="6ECC3A24"/>
    <w:rsid w:val="6ED86D3E"/>
    <w:rsid w:val="6EE9744F"/>
    <w:rsid w:val="6EEC3F7C"/>
    <w:rsid w:val="6EF3602C"/>
    <w:rsid w:val="6EF65A2C"/>
    <w:rsid w:val="6EFE1485"/>
    <w:rsid w:val="6F0247B3"/>
    <w:rsid w:val="6F031F8E"/>
    <w:rsid w:val="6F09008D"/>
    <w:rsid w:val="6F0C735C"/>
    <w:rsid w:val="6F0D382C"/>
    <w:rsid w:val="6F2632E8"/>
    <w:rsid w:val="6F30363A"/>
    <w:rsid w:val="6F3316E5"/>
    <w:rsid w:val="6F3F40F9"/>
    <w:rsid w:val="6F424B2F"/>
    <w:rsid w:val="6F5C2C41"/>
    <w:rsid w:val="6F5E0205"/>
    <w:rsid w:val="6F632569"/>
    <w:rsid w:val="6F635644"/>
    <w:rsid w:val="6F635E50"/>
    <w:rsid w:val="6F6F14E1"/>
    <w:rsid w:val="6F76254B"/>
    <w:rsid w:val="6F7C40AC"/>
    <w:rsid w:val="6F8040F4"/>
    <w:rsid w:val="6F877B03"/>
    <w:rsid w:val="6F905BB3"/>
    <w:rsid w:val="6F9A3007"/>
    <w:rsid w:val="6FA629D4"/>
    <w:rsid w:val="6FA75ADB"/>
    <w:rsid w:val="6FB77ED4"/>
    <w:rsid w:val="6FBD3BBF"/>
    <w:rsid w:val="6FBD4D2F"/>
    <w:rsid w:val="6FBF4710"/>
    <w:rsid w:val="6FC9109F"/>
    <w:rsid w:val="6FCC6779"/>
    <w:rsid w:val="6FDB518F"/>
    <w:rsid w:val="6FE529ED"/>
    <w:rsid w:val="6FF733A7"/>
    <w:rsid w:val="70003DD9"/>
    <w:rsid w:val="70072915"/>
    <w:rsid w:val="70172090"/>
    <w:rsid w:val="70195E88"/>
    <w:rsid w:val="701D43BA"/>
    <w:rsid w:val="70216162"/>
    <w:rsid w:val="70291C03"/>
    <w:rsid w:val="702B6F43"/>
    <w:rsid w:val="7032079E"/>
    <w:rsid w:val="7036146F"/>
    <w:rsid w:val="703C186A"/>
    <w:rsid w:val="704C34F0"/>
    <w:rsid w:val="70570007"/>
    <w:rsid w:val="705843B4"/>
    <w:rsid w:val="7058635C"/>
    <w:rsid w:val="70611FB0"/>
    <w:rsid w:val="70655A58"/>
    <w:rsid w:val="706A37E5"/>
    <w:rsid w:val="70822BAD"/>
    <w:rsid w:val="708746BC"/>
    <w:rsid w:val="708A15C0"/>
    <w:rsid w:val="708C17E7"/>
    <w:rsid w:val="708F7F54"/>
    <w:rsid w:val="709E3D85"/>
    <w:rsid w:val="70A36A35"/>
    <w:rsid w:val="70A708B1"/>
    <w:rsid w:val="70A97192"/>
    <w:rsid w:val="70AC660B"/>
    <w:rsid w:val="70B17138"/>
    <w:rsid w:val="70BB2EF0"/>
    <w:rsid w:val="70BC2801"/>
    <w:rsid w:val="70C6646C"/>
    <w:rsid w:val="70D82DC7"/>
    <w:rsid w:val="70E4685D"/>
    <w:rsid w:val="70FC2D1E"/>
    <w:rsid w:val="71014479"/>
    <w:rsid w:val="71015D6B"/>
    <w:rsid w:val="71067D7F"/>
    <w:rsid w:val="71071665"/>
    <w:rsid w:val="71115386"/>
    <w:rsid w:val="71126908"/>
    <w:rsid w:val="71130CDF"/>
    <w:rsid w:val="71151975"/>
    <w:rsid w:val="711D1189"/>
    <w:rsid w:val="712A2C1F"/>
    <w:rsid w:val="712A5215"/>
    <w:rsid w:val="712F2B3D"/>
    <w:rsid w:val="71336A65"/>
    <w:rsid w:val="713A6008"/>
    <w:rsid w:val="7144725F"/>
    <w:rsid w:val="71477B0C"/>
    <w:rsid w:val="7148395C"/>
    <w:rsid w:val="714B215B"/>
    <w:rsid w:val="714E2D72"/>
    <w:rsid w:val="71545B37"/>
    <w:rsid w:val="71570E43"/>
    <w:rsid w:val="71573E01"/>
    <w:rsid w:val="716F00B2"/>
    <w:rsid w:val="71702748"/>
    <w:rsid w:val="717206C1"/>
    <w:rsid w:val="71867894"/>
    <w:rsid w:val="718E3AA9"/>
    <w:rsid w:val="71920F6D"/>
    <w:rsid w:val="7196106A"/>
    <w:rsid w:val="719E0160"/>
    <w:rsid w:val="719F7A78"/>
    <w:rsid w:val="71A03079"/>
    <w:rsid w:val="71AD22C0"/>
    <w:rsid w:val="71B623F6"/>
    <w:rsid w:val="71B84778"/>
    <w:rsid w:val="71C17B7E"/>
    <w:rsid w:val="71C7540C"/>
    <w:rsid w:val="71DA3F10"/>
    <w:rsid w:val="71E857A5"/>
    <w:rsid w:val="71F64A63"/>
    <w:rsid w:val="71F870B8"/>
    <w:rsid w:val="71F9130C"/>
    <w:rsid w:val="72021233"/>
    <w:rsid w:val="720B2A1D"/>
    <w:rsid w:val="72197AB8"/>
    <w:rsid w:val="721B4039"/>
    <w:rsid w:val="722D6444"/>
    <w:rsid w:val="7231773E"/>
    <w:rsid w:val="7234129A"/>
    <w:rsid w:val="72502F9F"/>
    <w:rsid w:val="7251515C"/>
    <w:rsid w:val="725817D3"/>
    <w:rsid w:val="726E6AD4"/>
    <w:rsid w:val="727C422C"/>
    <w:rsid w:val="7288329F"/>
    <w:rsid w:val="728D72D4"/>
    <w:rsid w:val="728E71EE"/>
    <w:rsid w:val="7292045A"/>
    <w:rsid w:val="72974DBE"/>
    <w:rsid w:val="72983FF8"/>
    <w:rsid w:val="72985E1E"/>
    <w:rsid w:val="72A20C20"/>
    <w:rsid w:val="72AC5E95"/>
    <w:rsid w:val="72BF43E3"/>
    <w:rsid w:val="72C13ED7"/>
    <w:rsid w:val="72CF1AC7"/>
    <w:rsid w:val="72D51F74"/>
    <w:rsid w:val="72DC0F93"/>
    <w:rsid w:val="72DD2607"/>
    <w:rsid w:val="72E42AFA"/>
    <w:rsid w:val="72E85578"/>
    <w:rsid w:val="72EB4466"/>
    <w:rsid w:val="72FD426E"/>
    <w:rsid w:val="73043CFC"/>
    <w:rsid w:val="7317244F"/>
    <w:rsid w:val="732B736C"/>
    <w:rsid w:val="732C334F"/>
    <w:rsid w:val="733501BF"/>
    <w:rsid w:val="734F0C79"/>
    <w:rsid w:val="734F4185"/>
    <w:rsid w:val="73520620"/>
    <w:rsid w:val="73536078"/>
    <w:rsid w:val="73593F50"/>
    <w:rsid w:val="7363274A"/>
    <w:rsid w:val="73691A4A"/>
    <w:rsid w:val="7371152B"/>
    <w:rsid w:val="73777B4D"/>
    <w:rsid w:val="737920CD"/>
    <w:rsid w:val="738A6895"/>
    <w:rsid w:val="738D1AFA"/>
    <w:rsid w:val="73917325"/>
    <w:rsid w:val="7395427D"/>
    <w:rsid w:val="73AE5485"/>
    <w:rsid w:val="73B1087F"/>
    <w:rsid w:val="73BC7089"/>
    <w:rsid w:val="73BE7067"/>
    <w:rsid w:val="73C63508"/>
    <w:rsid w:val="73E406FD"/>
    <w:rsid w:val="73E52294"/>
    <w:rsid w:val="73EC5464"/>
    <w:rsid w:val="73FF2D64"/>
    <w:rsid w:val="74137154"/>
    <w:rsid w:val="741819AA"/>
    <w:rsid w:val="7421310D"/>
    <w:rsid w:val="74257F79"/>
    <w:rsid w:val="74273820"/>
    <w:rsid w:val="7427471C"/>
    <w:rsid w:val="74281B3F"/>
    <w:rsid w:val="742D7CD7"/>
    <w:rsid w:val="74355B0B"/>
    <w:rsid w:val="743C33B0"/>
    <w:rsid w:val="743C7157"/>
    <w:rsid w:val="743C71DA"/>
    <w:rsid w:val="74405F97"/>
    <w:rsid w:val="74416F54"/>
    <w:rsid w:val="744B354F"/>
    <w:rsid w:val="7450294E"/>
    <w:rsid w:val="74510121"/>
    <w:rsid w:val="74543139"/>
    <w:rsid w:val="74672BF8"/>
    <w:rsid w:val="746B732F"/>
    <w:rsid w:val="746E18CB"/>
    <w:rsid w:val="746F3904"/>
    <w:rsid w:val="748D52FA"/>
    <w:rsid w:val="74993216"/>
    <w:rsid w:val="74A25132"/>
    <w:rsid w:val="74B44784"/>
    <w:rsid w:val="74B808BF"/>
    <w:rsid w:val="74C03187"/>
    <w:rsid w:val="74D033D9"/>
    <w:rsid w:val="74E427B4"/>
    <w:rsid w:val="74E4756E"/>
    <w:rsid w:val="74ED19FF"/>
    <w:rsid w:val="75084E8F"/>
    <w:rsid w:val="7509261E"/>
    <w:rsid w:val="75202656"/>
    <w:rsid w:val="752231CE"/>
    <w:rsid w:val="75276DE2"/>
    <w:rsid w:val="753F3D3B"/>
    <w:rsid w:val="754723D0"/>
    <w:rsid w:val="75482D09"/>
    <w:rsid w:val="75633812"/>
    <w:rsid w:val="756F29D2"/>
    <w:rsid w:val="75752B04"/>
    <w:rsid w:val="758849E0"/>
    <w:rsid w:val="758910BB"/>
    <w:rsid w:val="75920C70"/>
    <w:rsid w:val="75955DA9"/>
    <w:rsid w:val="759601E2"/>
    <w:rsid w:val="75977910"/>
    <w:rsid w:val="759F2A35"/>
    <w:rsid w:val="75AD4ED0"/>
    <w:rsid w:val="75B15C41"/>
    <w:rsid w:val="75CC5191"/>
    <w:rsid w:val="75CC694A"/>
    <w:rsid w:val="75D12923"/>
    <w:rsid w:val="75D173F4"/>
    <w:rsid w:val="75EA364B"/>
    <w:rsid w:val="75F20996"/>
    <w:rsid w:val="75F65644"/>
    <w:rsid w:val="75F96973"/>
    <w:rsid w:val="76035FE9"/>
    <w:rsid w:val="760A4340"/>
    <w:rsid w:val="76123E1D"/>
    <w:rsid w:val="761270F3"/>
    <w:rsid w:val="761724E5"/>
    <w:rsid w:val="762545DB"/>
    <w:rsid w:val="762A17C0"/>
    <w:rsid w:val="762B7A6C"/>
    <w:rsid w:val="762E6798"/>
    <w:rsid w:val="763E6F8E"/>
    <w:rsid w:val="76425118"/>
    <w:rsid w:val="764838B9"/>
    <w:rsid w:val="764B15DA"/>
    <w:rsid w:val="764C09B4"/>
    <w:rsid w:val="764F5A52"/>
    <w:rsid w:val="76521C57"/>
    <w:rsid w:val="766163C1"/>
    <w:rsid w:val="76665926"/>
    <w:rsid w:val="766A4A0D"/>
    <w:rsid w:val="767F0863"/>
    <w:rsid w:val="768C454B"/>
    <w:rsid w:val="7692667A"/>
    <w:rsid w:val="76982273"/>
    <w:rsid w:val="769A7352"/>
    <w:rsid w:val="769C4619"/>
    <w:rsid w:val="76A177B8"/>
    <w:rsid w:val="76A766BF"/>
    <w:rsid w:val="76AD2761"/>
    <w:rsid w:val="76B64E53"/>
    <w:rsid w:val="76B8001A"/>
    <w:rsid w:val="76B81599"/>
    <w:rsid w:val="76B97D11"/>
    <w:rsid w:val="76BB2F21"/>
    <w:rsid w:val="76BC314A"/>
    <w:rsid w:val="76C12918"/>
    <w:rsid w:val="76CC16BA"/>
    <w:rsid w:val="76CF29D3"/>
    <w:rsid w:val="76E91124"/>
    <w:rsid w:val="76EB0D11"/>
    <w:rsid w:val="76EC51FD"/>
    <w:rsid w:val="76F410B8"/>
    <w:rsid w:val="76F70779"/>
    <w:rsid w:val="76F71C30"/>
    <w:rsid w:val="77001F24"/>
    <w:rsid w:val="770A6C33"/>
    <w:rsid w:val="771A04D1"/>
    <w:rsid w:val="771B67DF"/>
    <w:rsid w:val="771E64D7"/>
    <w:rsid w:val="77240552"/>
    <w:rsid w:val="77272CAB"/>
    <w:rsid w:val="772B4341"/>
    <w:rsid w:val="7731599F"/>
    <w:rsid w:val="77451578"/>
    <w:rsid w:val="774963F2"/>
    <w:rsid w:val="77576666"/>
    <w:rsid w:val="77636E18"/>
    <w:rsid w:val="776564EF"/>
    <w:rsid w:val="776709A1"/>
    <w:rsid w:val="77674898"/>
    <w:rsid w:val="77692EA3"/>
    <w:rsid w:val="77695538"/>
    <w:rsid w:val="7773758E"/>
    <w:rsid w:val="77825248"/>
    <w:rsid w:val="7785098B"/>
    <w:rsid w:val="77870D91"/>
    <w:rsid w:val="778A3229"/>
    <w:rsid w:val="779258CC"/>
    <w:rsid w:val="7794068F"/>
    <w:rsid w:val="779418F6"/>
    <w:rsid w:val="779A012A"/>
    <w:rsid w:val="779A096B"/>
    <w:rsid w:val="779B52FF"/>
    <w:rsid w:val="779C011D"/>
    <w:rsid w:val="77A00E75"/>
    <w:rsid w:val="77A80D17"/>
    <w:rsid w:val="77B841F3"/>
    <w:rsid w:val="77C078B1"/>
    <w:rsid w:val="77CE7C36"/>
    <w:rsid w:val="77E537F1"/>
    <w:rsid w:val="77E66E3C"/>
    <w:rsid w:val="77E84D6F"/>
    <w:rsid w:val="77F3789A"/>
    <w:rsid w:val="77F70588"/>
    <w:rsid w:val="77F71324"/>
    <w:rsid w:val="78005A86"/>
    <w:rsid w:val="78011BF1"/>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8E1C96"/>
    <w:rsid w:val="78A90B04"/>
    <w:rsid w:val="78B0552C"/>
    <w:rsid w:val="78C34D95"/>
    <w:rsid w:val="78C53485"/>
    <w:rsid w:val="78C6693F"/>
    <w:rsid w:val="78C76A01"/>
    <w:rsid w:val="78C9386A"/>
    <w:rsid w:val="78DA30DC"/>
    <w:rsid w:val="78EB5FB1"/>
    <w:rsid w:val="78EC45D8"/>
    <w:rsid w:val="78EC6DF0"/>
    <w:rsid w:val="78F02AF8"/>
    <w:rsid w:val="78F5335B"/>
    <w:rsid w:val="78F554EB"/>
    <w:rsid w:val="78FF5EC9"/>
    <w:rsid w:val="791843E7"/>
    <w:rsid w:val="79233426"/>
    <w:rsid w:val="79260F03"/>
    <w:rsid w:val="792B77BF"/>
    <w:rsid w:val="792E73F2"/>
    <w:rsid w:val="79395A92"/>
    <w:rsid w:val="793C6522"/>
    <w:rsid w:val="794008FB"/>
    <w:rsid w:val="79412D41"/>
    <w:rsid w:val="79413CC6"/>
    <w:rsid w:val="794708D9"/>
    <w:rsid w:val="794B21A1"/>
    <w:rsid w:val="7964574A"/>
    <w:rsid w:val="79804706"/>
    <w:rsid w:val="79835FC2"/>
    <w:rsid w:val="79840597"/>
    <w:rsid w:val="79941CF2"/>
    <w:rsid w:val="79973382"/>
    <w:rsid w:val="79B4353E"/>
    <w:rsid w:val="79C07B43"/>
    <w:rsid w:val="79C832AC"/>
    <w:rsid w:val="79C97A92"/>
    <w:rsid w:val="79D33056"/>
    <w:rsid w:val="79D715DF"/>
    <w:rsid w:val="79D85AB0"/>
    <w:rsid w:val="79E16F93"/>
    <w:rsid w:val="79E701E5"/>
    <w:rsid w:val="79EC0256"/>
    <w:rsid w:val="79F60153"/>
    <w:rsid w:val="79FA15B1"/>
    <w:rsid w:val="79FB6E2C"/>
    <w:rsid w:val="79FF7B91"/>
    <w:rsid w:val="7A165123"/>
    <w:rsid w:val="7A36322F"/>
    <w:rsid w:val="7A431242"/>
    <w:rsid w:val="7A444657"/>
    <w:rsid w:val="7A4B3D21"/>
    <w:rsid w:val="7A4C2D60"/>
    <w:rsid w:val="7A5E0869"/>
    <w:rsid w:val="7A69432B"/>
    <w:rsid w:val="7A6E4BF5"/>
    <w:rsid w:val="7A6E5088"/>
    <w:rsid w:val="7A7F4A1E"/>
    <w:rsid w:val="7A8246BA"/>
    <w:rsid w:val="7A851D5D"/>
    <w:rsid w:val="7A8A2267"/>
    <w:rsid w:val="7AA07F3B"/>
    <w:rsid w:val="7AAF4757"/>
    <w:rsid w:val="7AB53126"/>
    <w:rsid w:val="7AB76FE8"/>
    <w:rsid w:val="7AB8122B"/>
    <w:rsid w:val="7ACB4CB6"/>
    <w:rsid w:val="7ACC526F"/>
    <w:rsid w:val="7AD268E2"/>
    <w:rsid w:val="7ADC0B33"/>
    <w:rsid w:val="7AE14C19"/>
    <w:rsid w:val="7AE53859"/>
    <w:rsid w:val="7AE727D9"/>
    <w:rsid w:val="7AEA174E"/>
    <w:rsid w:val="7B05641A"/>
    <w:rsid w:val="7B0B692F"/>
    <w:rsid w:val="7B274176"/>
    <w:rsid w:val="7B3057E4"/>
    <w:rsid w:val="7B306163"/>
    <w:rsid w:val="7B364C38"/>
    <w:rsid w:val="7B3E17AA"/>
    <w:rsid w:val="7B401C79"/>
    <w:rsid w:val="7B440ED6"/>
    <w:rsid w:val="7B4678D7"/>
    <w:rsid w:val="7B4B2A93"/>
    <w:rsid w:val="7B516F3E"/>
    <w:rsid w:val="7B527515"/>
    <w:rsid w:val="7B78553B"/>
    <w:rsid w:val="7B786809"/>
    <w:rsid w:val="7B7A004F"/>
    <w:rsid w:val="7B890A24"/>
    <w:rsid w:val="7B8A4A8A"/>
    <w:rsid w:val="7BAA485C"/>
    <w:rsid w:val="7BAD1591"/>
    <w:rsid w:val="7BCD64C2"/>
    <w:rsid w:val="7BD3716B"/>
    <w:rsid w:val="7BEC2711"/>
    <w:rsid w:val="7BF55850"/>
    <w:rsid w:val="7C0D7046"/>
    <w:rsid w:val="7C1054B7"/>
    <w:rsid w:val="7C131E53"/>
    <w:rsid w:val="7C261982"/>
    <w:rsid w:val="7C26369C"/>
    <w:rsid w:val="7C2A465C"/>
    <w:rsid w:val="7C2E06D8"/>
    <w:rsid w:val="7C305879"/>
    <w:rsid w:val="7C3420DA"/>
    <w:rsid w:val="7C34521A"/>
    <w:rsid w:val="7C4067F6"/>
    <w:rsid w:val="7C417F31"/>
    <w:rsid w:val="7C4674BA"/>
    <w:rsid w:val="7C4A2BD1"/>
    <w:rsid w:val="7C4C0053"/>
    <w:rsid w:val="7C576C70"/>
    <w:rsid w:val="7C6E4349"/>
    <w:rsid w:val="7C77043F"/>
    <w:rsid w:val="7C8A7CDC"/>
    <w:rsid w:val="7C9B5288"/>
    <w:rsid w:val="7C9E5A24"/>
    <w:rsid w:val="7CA745A1"/>
    <w:rsid w:val="7CAF4DCB"/>
    <w:rsid w:val="7CB4006B"/>
    <w:rsid w:val="7CB93ABB"/>
    <w:rsid w:val="7CC475DB"/>
    <w:rsid w:val="7CCA4C41"/>
    <w:rsid w:val="7CD36BD6"/>
    <w:rsid w:val="7CD76E03"/>
    <w:rsid w:val="7CDE3831"/>
    <w:rsid w:val="7CE05980"/>
    <w:rsid w:val="7CE656F0"/>
    <w:rsid w:val="7CED34FF"/>
    <w:rsid w:val="7CEE5458"/>
    <w:rsid w:val="7CF26588"/>
    <w:rsid w:val="7CF565D7"/>
    <w:rsid w:val="7CF7605D"/>
    <w:rsid w:val="7CF867A7"/>
    <w:rsid w:val="7CFA3A46"/>
    <w:rsid w:val="7CFC78A1"/>
    <w:rsid w:val="7D0F5720"/>
    <w:rsid w:val="7D1132E3"/>
    <w:rsid w:val="7D186F3E"/>
    <w:rsid w:val="7D24652E"/>
    <w:rsid w:val="7D2561FD"/>
    <w:rsid w:val="7D2E198F"/>
    <w:rsid w:val="7D342E03"/>
    <w:rsid w:val="7D355821"/>
    <w:rsid w:val="7D3B3737"/>
    <w:rsid w:val="7D3D73AF"/>
    <w:rsid w:val="7D3F6E5D"/>
    <w:rsid w:val="7D5052A6"/>
    <w:rsid w:val="7D514310"/>
    <w:rsid w:val="7D5B27C9"/>
    <w:rsid w:val="7D62117D"/>
    <w:rsid w:val="7D6B7F02"/>
    <w:rsid w:val="7D834A16"/>
    <w:rsid w:val="7D9B14E6"/>
    <w:rsid w:val="7D9D0A97"/>
    <w:rsid w:val="7D9D438F"/>
    <w:rsid w:val="7DA514D2"/>
    <w:rsid w:val="7DAE6BE3"/>
    <w:rsid w:val="7DCD1A27"/>
    <w:rsid w:val="7DCD4EB5"/>
    <w:rsid w:val="7DDF20BC"/>
    <w:rsid w:val="7DE07962"/>
    <w:rsid w:val="7DE34955"/>
    <w:rsid w:val="7DEF277B"/>
    <w:rsid w:val="7DF07935"/>
    <w:rsid w:val="7DFF1E31"/>
    <w:rsid w:val="7E0565CD"/>
    <w:rsid w:val="7E090313"/>
    <w:rsid w:val="7E097A5B"/>
    <w:rsid w:val="7E3E0FEC"/>
    <w:rsid w:val="7E3E1EF2"/>
    <w:rsid w:val="7E566EA2"/>
    <w:rsid w:val="7E5B15D2"/>
    <w:rsid w:val="7E5B76B4"/>
    <w:rsid w:val="7E5C1ABA"/>
    <w:rsid w:val="7E61281D"/>
    <w:rsid w:val="7E622778"/>
    <w:rsid w:val="7E726401"/>
    <w:rsid w:val="7E756346"/>
    <w:rsid w:val="7E7D055C"/>
    <w:rsid w:val="7E8104AE"/>
    <w:rsid w:val="7E85174A"/>
    <w:rsid w:val="7E8B68B9"/>
    <w:rsid w:val="7EA77314"/>
    <w:rsid w:val="7EA974D8"/>
    <w:rsid w:val="7EAA7C26"/>
    <w:rsid w:val="7EAF1FAA"/>
    <w:rsid w:val="7EB13B0C"/>
    <w:rsid w:val="7EB4653A"/>
    <w:rsid w:val="7EBD44C4"/>
    <w:rsid w:val="7EC478B9"/>
    <w:rsid w:val="7ECA4601"/>
    <w:rsid w:val="7ECA61AD"/>
    <w:rsid w:val="7ECE7C95"/>
    <w:rsid w:val="7EDC22AD"/>
    <w:rsid w:val="7EDE4C34"/>
    <w:rsid w:val="7EE34086"/>
    <w:rsid w:val="7EE55F89"/>
    <w:rsid w:val="7EEB5719"/>
    <w:rsid w:val="7EF215E8"/>
    <w:rsid w:val="7EF525E1"/>
    <w:rsid w:val="7EF74FC9"/>
    <w:rsid w:val="7EFD041E"/>
    <w:rsid w:val="7F000B6A"/>
    <w:rsid w:val="7F0178C5"/>
    <w:rsid w:val="7F022EBD"/>
    <w:rsid w:val="7F023C17"/>
    <w:rsid w:val="7F033852"/>
    <w:rsid w:val="7F0B5962"/>
    <w:rsid w:val="7F0C2035"/>
    <w:rsid w:val="7F0F0FAF"/>
    <w:rsid w:val="7F0F7992"/>
    <w:rsid w:val="7F1B0865"/>
    <w:rsid w:val="7F271AA3"/>
    <w:rsid w:val="7F354370"/>
    <w:rsid w:val="7F397345"/>
    <w:rsid w:val="7F4D1868"/>
    <w:rsid w:val="7F4D3BF2"/>
    <w:rsid w:val="7F542B37"/>
    <w:rsid w:val="7F57085D"/>
    <w:rsid w:val="7F630EB2"/>
    <w:rsid w:val="7F6A77AB"/>
    <w:rsid w:val="7F6B2248"/>
    <w:rsid w:val="7F725E7C"/>
    <w:rsid w:val="7F761ADC"/>
    <w:rsid w:val="7F7D7A8E"/>
    <w:rsid w:val="7F872588"/>
    <w:rsid w:val="7F8725BA"/>
    <w:rsid w:val="7F8C6A8F"/>
    <w:rsid w:val="7F8E2469"/>
    <w:rsid w:val="7F994DB5"/>
    <w:rsid w:val="7F9C175D"/>
    <w:rsid w:val="7F9F773D"/>
    <w:rsid w:val="7FA85877"/>
    <w:rsid w:val="7FAB3A81"/>
    <w:rsid w:val="7FBE6C35"/>
    <w:rsid w:val="7FCB6843"/>
    <w:rsid w:val="7FDC52B9"/>
    <w:rsid w:val="7FDD6527"/>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31"/>
    <w:basedOn w:val="25"/>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7">
    <w:name w:val="font41"/>
    <w:basedOn w:val="25"/>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8">
    <w:name w:val="font11"/>
    <w:basedOn w:val="25"/>
    <w:qFormat/>
    <w:uiPriority w:val="0"/>
    <w:rPr>
      <w:rFonts w:ascii="Symbol" w:hAnsi="Symbol" w:cs="Symbol"/>
      <w:color w:val="000000"/>
      <w:sz w:val="24"/>
      <w:szCs w:val="24"/>
      <w:u w:val="none"/>
    </w:rPr>
  </w:style>
  <w:style w:type="table" w:customStyle="1" w:styleId="79">
    <w:name w:val="TableGrid3"/>
    <w:basedOn w:val="23"/>
    <w:qFormat/>
    <w:uiPriority w:val="39"/>
    <w:rPr>
      <w:rFonts w:eastAsia="PMingLiU"/>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
    <w:name w:val="TableGrid4"/>
    <w:basedOn w:val="23"/>
    <w:qFormat/>
    <w:uiPriority w:val="39"/>
    <w:rPr>
      <w:rFonts w:eastAsia="PMingLiU"/>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numbering" Target="numbering.xml"/><Relationship Id="rId20" Type="http://schemas.openxmlformats.org/officeDocument/2006/relationships/image" Target="media/image6.png"/><Relationship Id="rId2" Type="http://schemas.openxmlformats.org/officeDocument/2006/relationships/settings" Target="settings.xml"/><Relationship Id="rId19" Type="http://schemas.openxmlformats.org/officeDocument/2006/relationships/image" Target="media/image5.png"/><Relationship Id="rId18" Type="http://schemas.openxmlformats.org/officeDocument/2006/relationships/image" Target="media/image4.wmf"/><Relationship Id="rId17" Type="http://schemas.openxmlformats.org/officeDocument/2006/relationships/oleObject" Target="embeddings/oleObject3.bin"/><Relationship Id="rId16" Type="http://schemas.openxmlformats.org/officeDocument/2006/relationships/image" Target="media/image3.wmf"/><Relationship Id="rId15" Type="http://schemas.openxmlformats.org/officeDocument/2006/relationships/oleObject" Target="embeddings/oleObject2.bin"/><Relationship Id="rId14" Type="http://schemas.openxmlformats.org/officeDocument/2006/relationships/image" Target="media/image2.wmf"/><Relationship Id="rId13" Type="http://schemas.openxmlformats.org/officeDocument/2006/relationships/oleObject" Target="embeddings/oleObject1.bin"/><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1</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2025-05-09T07:30:49Z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7FC60AB734954F8EA8FF3592F624D33C</vt:lpwstr>
  </property>
</Properties>
</file>